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一、项目名称：</w:t>
      </w:r>
      <w:r>
        <w:rPr>
          <w:rFonts w:hint="default" w:ascii="Times New Roman" w:hAnsi="Times New Roman" w:eastAsia="方正仿宋_GBK" w:cs="Times New Roman"/>
          <w:kern w:val="2"/>
          <w:sz w:val="28"/>
          <w:szCs w:val="28"/>
          <w:highlight w:val="none"/>
          <w:lang w:val="en-US" w:eastAsia="zh-CN" w:bidi="ar-SA"/>
          <w14:ligatures w14:val="standardContextual"/>
        </w:rPr>
        <w:t>2026第三批耗材试剂配送服务采购项目。</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二、比选预算及最高限价：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包1总预算：人民币45000元/年；挂网产品结算价格按四川省挂网最低价执行。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包2总预算：人民币32160元/年；挂网产品结算价格按四川省挂网最低价执行。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包3总预算：人民币18000元/年；挂网产品结算价格按四川省挂网最低价执行。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包4总预算：人民币5880元/年；挂网产品结算价格按四川省挂网最低价执行。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包5总预算：人民币54000元/年；挂网产品结算价格按四川省挂网最低价执行。非挂网产品不能报价超过最高限价。</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三、相关要求：</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（一）需求数量：</w:t>
      </w:r>
    </w:p>
    <w:tbl>
      <w:tblPr>
        <w:tblStyle w:val="4"/>
        <w:tblpPr w:leftFromText="180" w:rightFromText="180" w:vertAnchor="text" w:horzAnchor="page" w:tblpX="1441" w:tblpY="258"/>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414"/>
        <w:gridCol w:w="2104"/>
        <w:gridCol w:w="939"/>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3" w:hRule="atLeast"/>
        </w:trPr>
        <w:tc>
          <w:tcPr>
            <w:tcW w:w="9370" w:type="dxa"/>
            <w:gridSpan w:val="5"/>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lang w:val="en-US" w:eastAsia="zh-CN"/>
              </w:rPr>
              <w:t>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序号</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货物名称</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color w:val="auto"/>
                <w:sz w:val="28"/>
                <w:szCs w:val="28"/>
                <w:highlight w:val="none"/>
              </w:rPr>
              <w:t>每年预估</w:t>
            </w:r>
            <w:r>
              <w:rPr>
                <w:rFonts w:hint="default" w:ascii="Times New Roman" w:hAnsi="Times New Roman" w:eastAsia="方正仿宋_GBK" w:cs="Times New Roman"/>
                <w:b/>
                <w:color w:val="auto"/>
                <w:sz w:val="28"/>
                <w:szCs w:val="28"/>
                <w:highlight w:val="none"/>
              </w:rPr>
              <w:t>数量</w:t>
            </w:r>
          </w:p>
        </w:tc>
        <w:tc>
          <w:tcPr>
            <w:tcW w:w="93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单位</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是否为挂网产品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含利多卡因注射用透明质酸钠溶液</w:t>
            </w:r>
          </w:p>
        </w:tc>
        <w:tc>
          <w:tcPr>
            <w:tcW w:w="2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120</w:t>
            </w:r>
          </w:p>
        </w:tc>
        <w:tc>
          <w:tcPr>
            <w:tcW w:w="9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个</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r>
    </w:tbl>
    <w:p>
      <w:pPr>
        <w:rPr>
          <w:rFonts w:hint="default" w:ascii="Times New Roman" w:hAnsi="Times New Roman" w:eastAsia="宋体" w:cs="Times New Roman"/>
          <w:sz w:val="28"/>
          <w:szCs w:val="28"/>
          <w:highlight w:val="none"/>
          <w:lang w:val="en-US" w:eastAsia="zh-CN"/>
        </w:rPr>
      </w:pPr>
    </w:p>
    <w:tbl>
      <w:tblPr>
        <w:tblStyle w:val="4"/>
        <w:tblpPr w:leftFromText="180" w:rightFromText="180" w:vertAnchor="text" w:horzAnchor="page" w:tblpX="1441" w:tblpY="258"/>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414"/>
        <w:gridCol w:w="2104"/>
        <w:gridCol w:w="954"/>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370" w:type="dxa"/>
            <w:gridSpan w:val="5"/>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lang w:val="en-US" w:eastAsia="zh-CN"/>
              </w:rPr>
              <w:t>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序号</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货物名称</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color w:val="auto"/>
                <w:sz w:val="28"/>
                <w:szCs w:val="28"/>
                <w:highlight w:val="none"/>
              </w:rPr>
              <w:t>每年预估</w:t>
            </w:r>
            <w:r>
              <w:rPr>
                <w:rFonts w:hint="default" w:ascii="Times New Roman" w:hAnsi="Times New Roman" w:eastAsia="方正仿宋_GBK" w:cs="Times New Roman"/>
                <w:b/>
                <w:color w:val="auto"/>
                <w:sz w:val="28"/>
                <w:szCs w:val="28"/>
                <w:highlight w:val="none"/>
              </w:rPr>
              <w:t>数量</w:t>
            </w:r>
          </w:p>
        </w:tc>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单位</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是否为挂网产品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α-氰基丙烯酸异丁酯医用胶(各型号)</w:t>
            </w:r>
          </w:p>
        </w:tc>
        <w:tc>
          <w:tcPr>
            <w:tcW w:w="2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120</w:t>
            </w:r>
          </w:p>
        </w:tc>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个</w:t>
            </w:r>
          </w:p>
        </w:tc>
        <w:tc>
          <w:tcPr>
            <w:tcW w:w="204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r>
    </w:tbl>
    <w:p>
      <w:pPr>
        <w:pStyle w:val="2"/>
        <w:rPr>
          <w:rFonts w:hint="default" w:ascii="Times New Roman" w:hAnsi="Times New Roman" w:eastAsia="方正仿宋_GBK" w:cs="Times New Roman"/>
          <w:sz w:val="28"/>
          <w:szCs w:val="28"/>
          <w:highlight w:val="none"/>
          <w:lang w:val="en-US" w:eastAsia="zh-CN"/>
        </w:rPr>
      </w:pPr>
    </w:p>
    <w:tbl>
      <w:tblPr>
        <w:tblStyle w:val="4"/>
        <w:tblpPr w:leftFromText="180" w:rightFromText="180" w:vertAnchor="text" w:horzAnchor="page" w:tblpX="1441" w:tblpY="258"/>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414"/>
        <w:gridCol w:w="2104"/>
        <w:gridCol w:w="999"/>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370" w:type="dxa"/>
            <w:gridSpan w:val="5"/>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lang w:val="en-US" w:eastAsia="zh-CN"/>
              </w:rPr>
              <w:t>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序号</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货物名称</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color w:val="auto"/>
                <w:sz w:val="28"/>
                <w:szCs w:val="28"/>
                <w:highlight w:val="none"/>
              </w:rPr>
              <w:t>每年预估</w:t>
            </w:r>
            <w:r>
              <w:rPr>
                <w:rFonts w:hint="default" w:ascii="Times New Roman" w:hAnsi="Times New Roman" w:eastAsia="方正仿宋_GBK" w:cs="Times New Roman"/>
                <w:b/>
                <w:color w:val="auto"/>
                <w:sz w:val="28"/>
                <w:szCs w:val="28"/>
                <w:highlight w:val="none"/>
              </w:rPr>
              <w:t>数量</w:t>
            </w:r>
          </w:p>
        </w:tc>
        <w:tc>
          <w:tcPr>
            <w:tcW w:w="9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单位</w:t>
            </w:r>
          </w:p>
        </w:tc>
        <w:tc>
          <w:tcPr>
            <w:tcW w:w="19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是否为挂网产品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可视喉罩(各型号)</w:t>
            </w:r>
          </w:p>
        </w:tc>
        <w:tc>
          <w:tcPr>
            <w:tcW w:w="2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kern w:val="2"/>
                <w:sz w:val="28"/>
                <w:szCs w:val="28"/>
                <w:highlight w:val="none"/>
                <w:lang w:val="en-US" w:eastAsia="zh-CN" w:bidi="ar-SA"/>
                <w14:ligatures w14:val="standardContextual"/>
              </w:rPr>
              <w:t>60</w:t>
            </w:r>
          </w:p>
        </w:tc>
        <w:tc>
          <w:tcPr>
            <w:tcW w:w="9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个</w:t>
            </w:r>
          </w:p>
        </w:tc>
        <w:tc>
          <w:tcPr>
            <w:tcW w:w="19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r>
    </w:tbl>
    <w:p>
      <w:pPr>
        <w:rPr>
          <w:rFonts w:hint="default" w:ascii="Times New Roman" w:hAnsi="Times New Roman" w:eastAsia="方正仿宋_GBK" w:cs="Times New Roman"/>
          <w:sz w:val="28"/>
          <w:szCs w:val="28"/>
          <w:highlight w:val="none"/>
          <w:lang w:val="en-US" w:eastAsia="zh-CN"/>
        </w:rPr>
      </w:pPr>
    </w:p>
    <w:tbl>
      <w:tblPr>
        <w:tblStyle w:val="4"/>
        <w:tblpPr w:leftFromText="180" w:rightFromText="180" w:vertAnchor="text" w:horzAnchor="page" w:tblpX="1441" w:tblpY="258"/>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414"/>
        <w:gridCol w:w="2104"/>
        <w:gridCol w:w="924"/>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370" w:type="dxa"/>
            <w:gridSpan w:val="5"/>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lang w:val="en-US" w:eastAsia="zh-CN"/>
              </w:rPr>
              <w:t>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序号</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货物名称</w:t>
            </w:r>
          </w:p>
        </w:tc>
        <w:tc>
          <w:tcPr>
            <w:tcW w:w="21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color w:val="auto"/>
                <w:sz w:val="28"/>
                <w:szCs w:val="28"/>
                <w:highlight w:val="none"/>
              </w:rPr>
              <w:t>每年预估</w:t>
            </w:r>
            <w:r>
              <w:rPr>
                <w:rFonts w:hint="default" w:ascii="Times New Roman" w:hAnsi="Times New Roman" w:eastAsia="方正仿宋_GBK" w:cs="Times New Roman"/>
                <w:b/>
                <w:color w:val="auto"/>
                <w:sz w:val="28"/>
                <w:szCs w:val="28"/>
                <w:highlight w:val="none"/>
              </w:rPr>
              <w:t>数量</w:t>
            </w:r>
          </w:p>
        </w:tc>
        <w:tc>
          <w:tcPr>
            <w:tcW w:w="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单位</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是否为挂网产品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34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龋齿凝胶</w:t>
            </w:r>
          </w:p>
        </w:tc>
        <w:tc>
          <w:tcPr>
            <w:tcW w:w="21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kern w:val="2"/>
                <w:sz w:val="28"/>
                <w:szCs w:val="28"/>
                <w:highlight w:val="none"/>
                <w:lang w:val="en-US" w:eastAsia="zh-CN" w:bidi="ar-SA"/>
                <w14:ligatures w14:val="standardContextual"/>
              </w:rPr>
              <w:t>120</w:t>
            </w:r>
          </w:p>
        </w:tc>
        <w:tc>
          <w:tcPr>
            <w:tcW w:w="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个</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r>
    </w:tbl>
    <w:p>
      <w:pPr>
        <w:pStyle w:val="2"/>
        <w:rPr>
          <w:rFonts w:hint="default" w:ascii="Times New Roman" w:hAnsi="Times New Roman" w:eastAsia="方正仿宋_GBK" w:cs="Times New Roman"/>
          <w:sz w:val="28"/>
          <w:szCs w:val="28"/>
          <w:highlight w:val="none"/>
          <w:lang w:val="en-US" w:eastAsia="zh-CN"/>
        </w:rPr>
      </w:pPr>
    </w:p>
    <w:tbl>
      <w:tblPr>
        <w:tblStyle w:val="4"/>
        <w:tblpPr w:leftFromText="180" w:rightFromText="180" w:vertAnchor="text" w:horzAnchor="page" w:tblpX="1441" w:tblpY="258"/>
        <w:tblOverlap w:val="never"/>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671"/>
        <w:gridCol w:w="1646"/>
        <w:gridCol w:w="782"/>
        <w:gridCol w:w="1561"/>
        <w:gridCol w:w="1"/>
        <w:gridCol w:w="1548"/>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13" w:hRule="atLeast"/>
        </w:trPr>
        <w:tc>
          <w:tcPr>
            <w:tcW w:w="7331" w:type="dxa"/>
            <w:gridSpan w:val="5"/>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lang w:val="en-US" w:eastAsia="zh-CN"/>
              </w:rPr>
              <w:t>包5</w:t>
            </w:r>
          </w:p>
        </w:tc>
        <w:tc>
          <w:tcPr>
            <w:tcW w:w="1549" w:type="dxa"/>
            <w:gridSpan w:val="2"/>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6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序号</w:t>
            </w:r>
          </w:p>
        </w:tc>
        <w:tc>
          <w:tcPr>
            <w:tcW w:w="26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货物名称</w:t>
            </w:r>
          </w:p>
        </w:tc>
        <w:tc>
          <w:tcPr>
            <w:tcW w:w="16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color w:val="auto"/>
                <w:sz w:val="28"/>
                <w:szCs w:val="28"/>
                <w:highlight w:val="none"/>
              </w:rPr>
              <w:t>每年预估</w:t>
            </w:r>
            <w:r>
              <w:rPr>
                <w:rFonts w:hint="default" w:ascii="Times New Roman" w:hAnsi="Times New Roman" w:eastAsia="方正仿宋_GBK" w:cs="Times New Roman"/>
                <w:b/>
                <w:color w:val="auto"/>
                <w:sz w:val="28"/>
                <w:szCs w:val="28"/>
                <w:highlight w:val="none"/>
              </w:rPr>
              <w:t>数量</w:t>
            </w:r>
          </w:p>
        </w:tc>
        <w:tc>
          <w:tcPr>
            <w:tcW w:w="7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单位</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是否为挂网产品</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color w:val="auto"/>
                <w:sz w:val="28"/>
                <w:szCs w:val="28"/>
                <w:highlight w:val="none"/>
                <w:lang w:val="en-US" w:eastAsia="zh-CN"/>
              </w:rPr>
              <w:t>单价限价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2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弓形虫IgG/IgM质控</w:t>
            </w:r>
          </w:p>
        </w:tc>
        <w:tc>
          <w:tcPr>
            <w:tcW w:w="164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kern w:val="2"/>
                <w:sz w:val="28"/>
                <w:szCs w:val="28"/>
                <w:highlight w:val="none"/>
                <w:lang w:val="en-US" w:eastAsia="zh-CN" w:bidi="ar-SA"/>
                <w14:ligatures w14:val="standardContextual"/>
              </w:rPr>
              <w:t>24套</w:t>
            </w: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盒</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p>
        </w:tc>
        <w:tc>
          <w:tcPr>
            <w:tcW w:w="2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i w:val="0"/>
                <w:iCs w:val="0"/>
                <w:color w:val="000000"/>
                <w:kern w:val="0"/>
                <w:sz w:val="28"/>
                <w:szCs w:val="28"/>
                <w:highlight w:val="none"/>
                <w:u w:val="none"/>
                <w:lang w:val="en-US" w:eastAsia="zh-CN" w:bidi="ar"/>
              </w:rPr>
              <w:t>风疹病毒IgG/IgM质控</w:t>
            </w:r>
          </w:p>
        </w:tc>
        <w:tc>
          <w:tcPr>
            <w:tcW w:w="1646"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盒</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3</w:t>
            </w:r>
          </w:p>
        </w:tc>
        <w:tc>
          <w:tcPr>
            <w:tcW w:w="2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巨细胞病毒IgG/IgM质控</w:t>
            </w:r>
          </w:p>
        </w:tc>
        <w:tc>
          <w:tcPr>
            <w:tcW w:w="1646"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盒</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p>
        </w:tc>
        <w:tc>
          <w:tcPr>
            <w:tcW w:w="2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i w:val="0"/>
                <w:iCs w:val="0"/>
                <w:color w:val="000000"/>
                <w:kern w:val="0"/>
                <w:sz w:val="28"/>
                <w:szCs w:val="28"/>
                <w:highlight w:val="none"/>
                <w:u w:val="none"/>
                <w:lang w:val="en-US" w:eastAsia="zh-CN" w:bidi="ar"/>
              </w:rPr>
              <w:t>单纯疱疹病毒IgG/IgM质控</w:t>
            </w:r>
          </w:p>
        </w:tc>
        <w:tc>
          <w:tcPr>
            <w:tcW w:w="1646"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盒</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p>
        </w:tc>
        <w:tc>
          <w:tcPr>
            <w:tcW w:w="2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质控清洗液</w:t>
            </w:r>
          </w:p>
        </w:tc>
        <w:tc>
          <w:tcPr>
            <w:tcW w:w="1646"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瓶</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rPr>
              <w:t>是</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w:t>
            </w:r>
          </w:p>
        </w:tc>
        <w:tc>
          <w:tcPr>
            <w:tcW w:w="2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kern w:val="2"/>
                <w:sz w:val="28"/>
                <w:szCs w:val="28"/>
                <w:highlight w:val="none"/>
                <w:lang w:val="en-US" w:eastAsia="zh-CN" w:bidi="ar-SA"/>
                <w14:ligatures w14:val="standardContextual"/>
              </w:rPr>
              <w:t>增强液</w:t>
            </w:r>
          </w:p>
        </w:tc>
        <w:tc>
          <w:tcPr>
            <w:tcW w:w="1646"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瓶</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7</w:t>
            </w:r>
          </w:p>
        </w:tc>
        <w:tc>
          <w:tcPr>
            <w:tcW w:w="2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kern w:val="2"/>
                <w:sz w:val="28"/>
                <w:szCs w:val="28"/>
                <w:highlight w:val="none"/>
                <w:lang w:val="en-US" w:eastAsia="zh-CN" w:bidi="ar-SA"/>
                <w14:ligatures w14:val="standardContextual"/>
              </w:rPr>
              <w:t>清洗试剂</w:t>
            </w:r>
          </w:p>
        </w:tc>
        <w:tc>
          <w:tcPr>
            <w:tcW w:w="1646"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瓶</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val="en-US" w:eastAsia="zh-CN"/>
              </w:rPr>
              <w:t>否</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73元/瓶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8</w:t>
            </w:r>
          </w:p>
        </w:tc>
        <w:tc>
          <w:tcPr>
            <w:tcW w:w="2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kern w:val="2"/>
                <w:sz w:val="28"/>
                <w:szCs w:val="28"/>
                <w:highlight w:val="none"/>
                <w:lang w:val="en-US" w:eastAsia="zh-CN" w:bidi="ar-SA"/>
                <w14:ligatures w14:val="standardContextual"/>
              </w:rPr>
              <w:t>清洗剂</w:t>
            </w:r>
          </w:p>
        </w:tc>
        <w:tc>
          <w:tcPr>
            <w:tcW w:w="1646"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瓶</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val="en-US" w:eastAsia="zh-CN"/>
              </w:rPr>
              <w:t>否</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500元/瓶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9</w:t>
            </w:r>
          </w:p>
        </w:tc>
        <w:tc>
          <w:tcPr>
            <w:tcW w:w="2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kern w:val="2"/>
                <w:sz w:val="28"/>
                <w:szCs w:val="28"/>
                <w:highlight w:val="none"/>
                <w:lang w:val="en-US" w:eastAsia="zh-CN" w:bidi="ar-SA"/>
                <w14:ligatures w14:val="standardContextual"/>
              </w:rPr>
              <w:t>反应杯</w:t>
            </w:r>
          </w:p>
        </w:tc>
        <w:tc>
          <w:tcPr>
            <w:tcW w:w="1646"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个</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val="en-US" w:eastAsia="zh-CN"/>
              </w:rPr>
              <w:t>否</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0.3元/个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w:t>
            </w:r>
          </w:p>
        </w:tc>
        <w:tc>
          <w:tcPr>
            <w:tcW w:w="2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kern w:val="2"/>
                <w:sz w:val="28"/>
                <w:szCs w:val="28"/>
                <w:highlight w:val="none"/>
                <w:lang w:val="en-US" w:eastAsia="zh-CN" w:bidi="ar-SA"/>
                <w14:ligatures w14:val="standardContextual"/>
              </w:rPr>
              <w:t>一次性吸头</w:t>
            </w:r>
          </w:p>
        </w:tc>
        <w:tc>
          <w:tcPr>
            <w:tcW w:w="164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个</w:t>
            </w:r>
          </w:p>
        </w:tc>
        <w:tc>
          <w:tcPr>
            <w:tcW w:w="15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val="en-US" w:eastAsia="zh-CN"/>
              </w:rPr>
              <w:t>否</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76" w:lineRule="auto"/>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0.5元/个</w:t>
            </w:r>
          </w:p>
        </w:tc>
      </w:tr>
    </w:tbl>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p>
    <w:p>
      <w:pPr>
        <w:keepNext w:val="0"/>
        <w:keepLines w:val="0"/>
        <w:pageBreakBefore w:val="0"/>
        <w:widowControl/>
        <w:kinsoku/>
        <w:wordWrap/>
        <w:overflowPunct/>
        <w:topLinePunct w:val="0"/>
        <w:autoSpaceDE/>
        <w:autoSpaceDN/>
        <w:bidi w:val="0"/>
        <w:adjustRightInd w:val="0"/>
        <w:snapToGrid w:val="0"/>
        <w:spacing w:after="0" w:line="500" w:lineRule="exact"/>
        <w:ind w:firstLine="0" w:firstLineChars="0"/>
        <w:jc w:val="lef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仿宋" w:cs="Times New Roman"/>
          <w:b/>
          <w:bCs/>
          <w:color w:val="auto"/>
          <w:kern w:val="0"/>
          <w:sz w:val="24"/>
          <w:highlight w:val="none"/>
        </w:rPr>
        <w:t>★</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p>
    <w:tbl>
      <w:tblPr>
        <w:tblStyle w:val="4"/>
        <w:tblW w:w="92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1741"/>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序号</w:t>
            </w:r>
          </w:p>
        </w:tc>
        <w:tc>
          <w:tcPr>
            <w:tcW w:w="1741"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内容</w:t>
            </w:r>
          </w:p>
        </w:tc>
        <w:tc>
          <w:tcPr>
            <w:tcW w:w="6936"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服务期</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采购合同签订生效之日起1年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1"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服务地点</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8"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产品质量保证期</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1年，自每次耗材送达采购人指定地点之日起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报价</w:t>
            </w:r>
          </w:p>
        </w:tc>
        <w:tc>
          <w:tcPr>
            <w:tcW w:w="69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lang w:val="en-US" w:eastAsia="zh-CN" w:bidi="ar-SA"/>
              </w:rPr>
              <w:t>（1）</w:t>
            </w:r>
            <w:r>
              <w:rPr>
                <w:rFonts w:hint="default" w:ascii="Times New Roman" w:hAnsi="Times New Roman" w:eastAsia="方正仿宋_GBK" w:cs="Times New Roman"/>
                <w:color w:val="auto"/>
                <w:sz w:val="28"/>
                <w:szCs w:val="28"/>
                <w:highlight w:val="none"/>
              </w:rPr>
              <w:t>本项目为挂网产品</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无须进行任何报价，按照四</w:t>
            </w:r>
            <w:r>
              <w:rPr>
                <w:rFonts w:hint="default" w:ascii="Times New Roman" w:hAnsi="Times New Roman" w:eastAsia="方正仿宋_GBK" w:cs="Times New Roman"/>
                <w:color w:val="auto"/>
                <w:sz w:val="28"/>
                <w:szCs w:val="28"/>
                <w:highlight w:val="none"/>
                <w:lang w:eastAsia="zh-CN"/>
              </w:rPr>
              <w:t>川省</w:t>
            </w:r>
            <w:r>
              <w:rPr>
                <w:rFonts w:hint="default" w:ascii="Times New Roman" w:hAnsi="Times New Roman" w:eastAsia="方正仿宋_GBK" w:cs="Times New Roman"/>
                <w:color w:val="auto"/>
                <w:sz w:val="28"/>
                <w:szCs w:val="28"/>
                <w:highlight w:val="none"/>
              </w:rPr>
              <w:t>医保公共服务平台四川省挂网最低价结算</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非挂网产品的报价应是最终用户验收合格后的总价。</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color w:val="auto"/>
                <w:kern w:val="2"/>
                <w:sz w:val="28"/>
                <w:szCs w:val="28"/>
                <w:highlight w:val="none"/>
                <w:lang w:val="en-US" w:eastAsia="zh-CN" w:bidi="ar-SA"/>
              </w:rPr>
              <w:t>（2）</w:t>
            </w:r>
            <w:r>
              <w:rPr>
                <w:rFonts w:hint="default" w:ascii="Times New Roman" w:hAnsi="Times New Roman" w:eastAsia="方正仿宋_GBK" w:cs="Times New Roman"/>
                <w:color w:val="auto"/>
                <w:sz w:val="28"/>
                <w:szCs w:val="28"/>
                <w:highlight w:val="none"/>
              </w:rPr>
              <w:t>产品</w:t>
            </w:r>
            <w:r>
              <w:rPr>
                <w:rFonts w:hint="default" w:ascii="Times New Roman" w:hAnsi="Times New Roman" w:eastAsia="方正仿宋_GBK" w:cs="Times New Roman"/>
                <w:color w:val="auto"/>
                <w:sz w:val="28"/>
                <w:szCs w:val="28"/>
                <w:highlight w:val="none"/>
                <w:lang w:val="en-US" w:eastAsia="zh-CN"/>
              </w:rPr>
              <w:t>报价</w:t>
            </w:r>
            <w:r>
              <w:rPr>
                <w:rFonts w:hint="default" w:ascii="Times New Roman" w:hAnsi="Times New Roman" w:eastAsia="方正仿宋_GBK" w:cs="Times New Roman"/>
                <w:color w:val="auto"/>
                <w:sz w:val="28"/>
                <w:szCs w:val="28"/>
                <w:highlight w:val="none"/>
              </w:rPr>
              <w:t>为项目交货地点的交货价，包括但不限于出厂价、辅件配件费、货物配送到达最终目的地点的相关运输费、保险、进口环节税、商检费、消费税、增值税、仓储、装卸费、安装、检测、利润、税金、人员培训等伴随服务费，以及合同期内因标的物、人工工资、材料费、运输费等成本上涨所带来的风险。成交后不得在再向采购人收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合同价款支付</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根据实际配送量的结算清单和供应商出具的相等的增值税发票资料，</w:t>
            </w:r>
            <w:r>
              <w:rPr>
                <w:rFonts w:hint="default" w:ascii="Times New Roman" w:hAnsi="Times New Roman" w:eastAsia="方正仿宋_GBK" w:cs="Times New Roman"/>
                <w:color w:val="auto"/>
                <w:sz w:val="28"/>
                <w:szCs w:val="28"/>
                <w:highlight w:val="none"/>
                <w:lang w:val="en-US" w:eastAsia="zh-CN"/>
              </w:rPr>
              <w:t>挂网产品</w:t>
            </w:r>
            <w:r>
              <w:rPr>
                <w:rFonts w:hint="default" w:ascii="Times New Roman" w:hAnsi="Times New Roman" w:eastAsia="方正仿宋_GBK" w:cs="Times New Roman"/>
                <w:color w:val="auto"/>
                <w:sz w:val="28"/>
                <w:szCs w:val="28"/>
                <w:highlight w:val="none"/>
              </w:rPr>
              <w:t>按月据实结算支付</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结算价格按照四川医保公共服务平台四川省挂网最低价结算</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非挂网耗材根据实际配送量的结算清单和供应商出具的相等的增值税发票资料，按季度据实结算支付</w:t>
            </w:r>
            <w:r>
              <w:rPr>
                <w:rFonts w:hint="default" w:ascii="Times New Roman" w:hAnsi="Times New Roman" w:eastAsia="方正仿宋_GBK" w:cs="Times New Roman"/>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bookmarkStart w:id="0" w:name="_Toc28829"/>
            <w:bookmarkStart w:id="1" w:name="_Toc32743"/>
            <w:r>
              <w:rPr>
                <w:rFonts w:hint="default" w:ascii="Times New Roman" w:hAnsi="Times New Roman" w:eastAsia="方正仿宋_GBK" w:cs="Times New Roman"/>
                <w:color w:val="auto"/>
                <w:sz w:val="28"/>
                <w:szCs w:val="28"/>
                <w:highlight w:val="none"/>
              </w:rPr>
              <w:t>6</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履约验收</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参照《财政部关于进一步加强政府采购需求和履约验收管理的指导意见》（财库〔2016〕205号）、《政府采购需求管理办法》（财库〔2021〕22号）的要求进行验收</w:t>
            </w:r>
            <w:r>
              <w:rPr>
                <w:rFonts w:hint="default" w:ascii="Times New Roman" w:hAnsi="Times New Roman" w:eastAsia="方正仿宋_GBK" w:cs="Times New Roman"/>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7</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退换货条款</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1、每次交货验收时，双方应对产品按照采购人下单的的品种、型号、规格和质量标准进行验收。验收不合格，供应商应无条件重新提供货物，如果仍然不符合质量要求的，采购人可提前终止采购合同。验收合格应由双方工作人员在供货清单上签字确认。          </w:t>
            </w:r>
          </w:p>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2、如果采购人在使用产品过程中发现产品质量不符合标准的，采购人可要求供应商立即退换。供应商在接到采购人口头或书面异议后，当日内应派人查看并应在3日内负责处理，否则视为供应商默认采购人提出的异议。如果供应商在采购人通知后3日内未做相应处理的，采购人有权终止协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8</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保险</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比选申请人自行运输标的物或委托承运人运输的，应为该批货物购买货物运输保险及运输工具航程保险，其损毁、灭失的风险自合同成立时起由比选申请人承担</w:t>
            </w:r>
            <w:r>
              <w:rPr>
                <w:rFonts w:hint="default" w:ascii="Times New Roman" w:hAnsi="Times New Roman" w:eastAsia="方正仿宋_GBK" w:cs="Times New Roman"/>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9"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9</w:t>
            </w:r>
          </w:p>
        </w:tc>
        <w:tc>
          <w:tcPr>
            <w:tcW w:w="1741"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其他要求</w:t>
            </w:r>
          </w:p>
        </w:tc>
        <w:tc>
          <w:tcPr>
            <w:tcW w:w="6936"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在合同期内，当实际结算金额达到</w:t>
            </w:r>
            <w:r>
              <w:rPr>
                <w:rFonts w:hint="default" w:ascii="Times New Roman" w:hAnsi="Times New Roman" w:eastAsia="方正仿宋_GBK" w:cs="Times New Roman"/>
                <w:color w:val="auto"/>
                <w:sz w:val="28"/>
                <w:szCs w:val="28"/>
                <w:highlight w:val="none"/>
                <w:lang w:val="en-US" w:eastAsia="zh-CN"/>
              </w:rPr>
              <w:t>预算</w:t>
            </w:r>
            <w:r>
              <w:rPr>
                <w:rFonts w:hint="default" w:ascii="Times New Roman" w:hAnsi="Times New Roman" w:eastAsia="方正仿宋_GBK" w:cs="Times New Roman"/>
                <w:color w:val="auto"/>
                <w:sz w:val="28"/>
                <w:szCs w:val="28"/>
                <w:highlight w:val="none"/>
              </w:rPr>
              <w:t>金额的70%和95%时，</w:t>
            </w:r>
            <w:r>
              <w:rPr>
                <w:rFonts w:hint="default" w:ascii="Times New Roman" w:hAnsi="Times New Roman" w:eastAsia="方正仿宋_GBK" w:cs="Times New Roman"/>
                <w:color w:val="auto"/>
                <w:sz w:val="28"/>
                <w:szCs w:val="28"/>
                <w:highlight w:val="none"/>
                <w:lang w:val="en-US" w:eastAsia="zh-CN"/>
              </w:rPr>
              <w:t>供应商</w:t>
            </w:r>
            <w:r>
              <w:rPr>
                <w:rFonts w:hint="default" w:ascii="Times New Roman" w:hAnsi="Times New Roman" w:eastAsia="方正仿宋_GBK" w:cs="Times New Roman"/>
                <w:color w:val="auto"/>
                <w:sz w:val="28"/>
                <w:szCs w:val="28"/>
                <w:highlight w:val="none"/>
              </w:rPr>
              <w:t>须在3个工作日内主动以书面文件（加盖供应商公章）通知</w:t>
            </w:r>
            <w:r>
              <w:rPr>
                <w:rFonts w:hint="default" w:ascii="Times New Roman" w:hAnsi="Times New Roman" w:eastAsia="方正仿宋_GBK" w:cs="Times New Roman"/>
                <w:color w:val="auto"/>
                <w:sz w:val="28"/>
                <w:szCs w:val="28"/>
                <w:highlight w:val="none"/>
                <w:lang w:val="en-US" w:eastAsia="zh-CN"/>
              </w:rPr>
              <w:t>采购人</w:t>
            </w:r>
            <w:r>
              <w:rPr>
                <w:rFonts w:hint="default" w:ascii="Times New Roman" w:hAnsi="Times New Roman" w:eastAsia="方正仿宋_GBK" w:cs="Times New Roman"/>
                <w:color w:val="auto"/>
                <w:sz w:val="28"/>
                <w:szCs w:val="28"/>
                <w:highlight w:val="none"/>
              </w:rPr>
              <w:t>，商讨合同后续事宜。</w:t>
            </w:r>
          </w:p>
        </w:tc>
      </w:tr>
      <w:bookmarkEnd w:id="0"/>
      <w:bookmarkEnd w:id="1"/>
    </w:tbl>
    <w:p>
      <w:pPr>
        <w:pStyle w:val="2"/>
        <w:rPr>
          <w:rFonts w:hint="default" w:ascii="Times New Roman" w:hAnsi="Times New Roman" w:eastAsia="方正仿宋_GBK"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after="0" w:line="400" w:lineRule="atLeast"/>
        <w:textAlignment w:val="auto"/>
        <w:rPr>
          <w:rFonts w:hint="default" w:ascii="Times New Roman" w:hAnsi="Times New Roman" w:eastAsia="仿宋" w:cs="Times New Roman"/>
          <w:sz w:val="24"/>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（三）技术参数要求</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default" w:ascii="Times New Roman" w:hAnsi="Times New Roman" w:eastAsia="方正仿宋_GBK" w:cs="Times New Roman"/>
          <w:b/>
          <w:bCs/>
          <w:kern w:val="2"/>
          <w:sz w:val="28"/>
          <w:szCs w:val="28"/>
          <w:highlight w:val="none"/>
          <w:lang w:val="en-US" w:eastAsia="zh-CN" w:bidi="ar-SA"/>
          <w14:ligatures w14:val="standardContextual"/>
        </w:rPr>
      </w:pPr>
      <w:r>
        <w:rPr>
          <w:rFonts w:hint="default" w:ascii="Times New Roman" w:hAnsi="Times New Roman" w:eastAsia="方正仿宋_GBK" w:cs="Times New Roman"/>
          <w:b/>
          <w:bCs/>
          <w:color w:val="auto"/>
          <w:kern w:val="0"/>
          <w:sz w:val="28"/>
          <w:szCs w:val="28"/>
          <w:highlight w:val="none"/>
        </w:rPr>
        <w:t>★</w:t>
      </w:r>
      <w:r>
        <w:rPr>
          <w:rFonts w:hint="default" w:ascii="Times New Roman" w:hAnsi="Times New Roman" w:eastAsia="方正仿宋_GBK" w:cs="Times New Roman"/>
          <w:b/>
          <w:bCs/>
          <w:kern w:val="2"/>
          <w:sz w:val="28"/>
          <w:szCs w:val="28"/>
          <w:highlight w:val="none"/>
          <w:lang w:val="en-US" w:eastAsia="zh-CN" w:bidi="ar-SA"/>
          <w14:ligatures w14:val="standardContextual"/>
        </w:rPr>
        <w:t>01包：含利多卡因注射用透明质酸钠溶液</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适用范围：用于面部真皮浅层注射暂时性改善成人皮肤干燥、肤色暗沉。</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溶液至少包括盐酸利多卡因、透明质酸钠，其中透明质酸钠，标示浓度≥15mg/mL，盐酸利多卡因标示浓度≥3 mg/mL。封装了溶液的注射器经高温蒸汽灭菌。一次性使用。有效期≥24个月。</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default" w:ascii="Times New Roman" w:hAnsi="Times New Roman" w:eastAsia="方正仿宋_GBK" w:cs="Times New Roman"/>
          <w:b/>
          <w:bCs/>
          <w:kern w:val="2"/>
          <w:sz w:val="28"/>
          <w:szCs w:val="28"/>
          <w:highlight w:val="none"/>
          <w:lang w:val="en-US" w:eastAsia="zh-CN" w:bidi="ar-SA"/>
          <w14:ligatures w14:val="standardContextual"/>
        </w:rPr>
      </w:pPr>
      <w:r>
        <w:rPr>
          <w:rFonts w:hint="default" w:ascii="Times New Roman" w:hAnsi="Times New Roman" w:eastAsia="方正仿宋_GBK" w:cs="Times New Roman"/>
          <w:b/>
          <w:bCs/>
          <w:color w:val="auto"/>
          <w:kern w:val="0"/>
          <w:sz w:val="28"/>
          <w:szCs w:val="28"/>
          <w:highlight w:val="none"/>
        </w:rPr>
        <w:t>★</w:t>
      </w:r>
      <w:r>
        <w:rPr>
          <w:rFonts w:hint="default" w:ascii="Times New Roman" w:hAnsi="Times New Roman" w:eastAsia="方正仿宋_GBK" w:cs="Times New Roman"/>
          <w:b/>
          <w:bCs/>
          <w:kern w:val="2"/>
          <w:sz w:val="28"/>
          <w:szCs w:val="28"/>
          <w:highlight w:val="none"/>
          <w:lang w:val="en-US" w:eastAsia="zh-CN" w:bidi="ar-SA"/>
          <w14:ligatures w14:val="standardContextual"/>
        </w:rPr>
        <w:t>02包：α-氰基丙烯酸异丁酯医用胶</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适用范围：用于小切口的闭合，能够促进伤口无疤痕愈合，可以粘合伤口，胶膜具有柔韧性，不易脱落。</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default" w:ascii="Times New Roman" w:hAnsi="Times New Roman" w:eastAsia="方正仿宋_GBK" w:cs="Times New Roman"/>
          <w:b/>
          <w:bCs/>
          <w:kern w:val="2"/>
          <w:sz w:val="28"/>
          <w:szCs w:val="28"/>
          <w:highlight w:val="none"/>
          <w:lang w:val="en-US" w:eastAsia="zh-CN" w:bidi="ar-SA"/>
          <w14:ligatures w14:val="standardContextual"/>
        </w:rPr>
      </w:pPr>
      <w:r>
        <w:rPr>
          <w:rFonts w:hint="default" w:ascii="Times New Roman" w:hAnsi="Times New Roman" w:eastAsia="方正仿宋_GBK" w:cs="Times New Roman"/>
          <w:b/>
          <w:bCs/>
          <w:color w:val="auto"/>
          <w:kern w:val="0"/>
          <w:sz w:val="28"/>
          <w:szCs w:val="28"/>
          <w:highlight w:val="none"/>
        </w:rPr>
        <w:t>★</w:t>
      </w:r>
      <w:r>
        <w:rPr>
          <w:rFonts w:hint="default" w:ascii="Times New Roman" w:hAnsi="Times New Roman" w:eastAsia="方正仿宋_GBK" w:cs="Times New Roman"/>
          <w:b/>
          <w:bCs/>
          <w:kern w:val="2"/>
          <w:sz w:val="28"/>
          <w:szCs w:val="28"/>
          <w:highlight w:val="none"/>
          <w:lang w:val="en-US" w:eastAsia="zh-CN" w:bidi="ar-SA"/>
          <w14:ligatures w14:val="standardContextual"/>
        </w:rPr>
        <w:t>03包：可视喉罩</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适用范围：帮助建立临时气道；也可以作为气道管理的辅助工具，帮助其他的气道工具的植入。</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材质要求:硅胶;灭菌要求:环氧乙烷灭菌包装;环氧乙烷残留量应不大于10ug/g。</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default" w:ascii="Times New Roman" w:hAnsi="Times New Roman" w:eastAsia="方正仿宋_GBK" w:cs="Times New Roman"/>
          <w:b/>
          <w:bCs/>
          <w:kern w:val="2"/>
          <w:sz w:val="28"/>
          <w:szCs w:val="28"/>
          <w:highlight w:val="none"/>
          <w:lang w:val="en-US" w:eastAsia="zh-CN" w:bidi="ar-SA"/>
          <w14:ligatures w14:val="standardContextual"/>
        </w:rPr>
      </w:pPr>
      <w:r>
        <w:rPr>
          <w:rFonts w:hint="default" w:ascii="Times New Roman" w:hAnsi="Times New Roman" w:eastAsia="方正仿宋_GBK" w:cs="Times New Roman"/>
          <w:b/>
          <w:bCs/>
          <w:color w:val="auto"/>
          <w:kern w:val="0"/>
          <w:sz w:val="28"/>
          <w:szCs w:val="28"/>
          <w:highlight w:val="none"/>
        </w:rPr>
        <w:t>★</w:t>
      </w:r>
      <w:r>
        <w:rPr>
          <w:rFonts w:hint="default" w:ascii="Times New Roman" w:hAnsi="Times New Roman" w:eastAsia="方正仿宋_GBK" w:cs="Times New Roman"/>
          <w:b/>
          <w:bCs/>
          <w:kern w:val="2"/>
          <w:sz w:val="28"/>
          <w:szCs w:val="28"/>
          <w:highlight w:val="none"/>
          <w:lang w:val="en-US" w:eastAsia="zh-CN" w:bidi="ar-SA"/>
          <w14:ligatures w14:val="standardContextual"/>
        </w:rPr>
        <w:t>04包：龋齿凝胶</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适用范围：用于龋病治疗</w:t>
      </w:r>
      <w:r>
        <w:rPr>
          <w:rFonts w:hint="eastAsia"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i w:val="0"/>
          <w:iCs w:val="0"/>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材质：</w:t>
      </w:r>
      <w:r>
        <w:rPr>
          <w:rFonts w:hint="default" w:ascii="Times New Roman" w:hAnsi="Times New Roman" w:eastAsia="方正仿宋_GBK" w:cs="Times New Roman"/>
          <w:i w:val="0"/>
          <w:iCs w:val="0"/>
          <w:kern w:val="2"/>
          <w:sz w:val="28"/>
          <w:szCs w:val="28"/>
          <w:highlight w:val="none"/>
          <w:lang w:val="en-US" w:eastAsia="zh-CN" w:bidi="ar-SA"/>
          <w14:ligatures w14:val="standardContextual"/>
        </w:rPr>
        <w:t>由木瓜蛋白酶、尼泊金甲酯、氯化钠和羧甲基纤维素等组成的凝胶。内包为牙用输送器，其材质为聚碳酸酯材料（医用级）</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凝胶pH值：8-12之间</w:t>
      </w:r>
      <w:r>
        <w:rPr>
          <w:rFonts w:hint="eastAsia" w:eastAsia="方正仿宋_GBK" w:cs="Times New Roman"/>
          <w:kern w:val="2"/>
          <w:sz w:val="28"/>
          <w:szCs w:val="28"/>
          <w:highlight w:val="none"/>
          <w:lang w:val="en-US" w:eastAsia="zh-CN" w:bidi="ar-SA"/>
          <w14:ligatures w14:val="standardContextual"/>
        </w:rPr>
        <w:t>。</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p>
    <w:p>
      <w:pPr>
        <w:spacing w:line="570" w:lineRule="atLeast"/>
        <w:rPr>
          <w:rFonts w:hint="default" w:ascii="Times New Roman" w:hAnsi="Times New Roman" w:cs="Times New Roman"/>
          <w:highlight w:val="none"/>
        </w:rPr>
      </w:pPr>
      <w:r>
        <w:rPr>
          <w:rFonts w:hint="default" w:ascii="Times New Roman" w:hAnsi="Times New Roman" w:eastAsia="仿宋" w:cs="Times New Roman"/>
          <w:b/>
          <w:bCs/>
          <w:color w:val="auto"/>
          <w:kern w:val="0"/>
          <w:sz w:val="24"/>
          <w:highlight w:val="none"/>
          <w:lang w:val="en-US" w:eastAsia="zh-CN"/>
        </w:rPr>
        <w:t>以上标注</w:t>
      </w:r>
      <w:r>
        <w:rPr>
          <w:rFonts w:hint="default" w:ascii="Times New Roman" w:hAnsi="Times New Roman" w:eastAsia="仿宋" w:cs="Times New Roman"/>
          <w:b/>
          <w:bCs/>
          <w:color w:val="auto"/>
          <w:kern w:val="0"/>
          <w:sz w:val="24"/>
          <w:highlight w:val="none"/>
        </w:rPr>
        <w:t>“★”号</w:t>
      </w:r>
      <w:r>
        <w:rPr>
          <w:rFonts w:hint="default" w:ascii="Times New Roman" w:hAnsi="Times New Roman" w:eastAsia="仿宋" w:cs="Times New Roman"/>
          <w:b/>
          <w:bCs/>
          <w:color w:val="auto"/>
          <w:kern w:val="0"/>
          <w:sz w:val="24"/>
          <w:highlight w:val="none"/>
          <w:lang w:val="en-US" w:eastAsia="zh-CN"/>
        </w:rPr>
        <w:t>的为本次采购项目的</w:t>
      </w:r>
      <w:r>
        <w:rPr>
          <w:rFonts w:hint="default" w:ascii="Times New Roman" w:hAnsi="Times New Roman" w:eastAsia="仿宋" w:cs="Times New Roman"/>
          <w:b/>
          <w:bCs/>
          <w:color w:val="auto"/>
          <w:kern w:val="0"/>
          <w:sz w:val="24"/>
          <w:highlight w:val="none"/>
        </w:rPr>
        <w:t>实质性要求，供应商应全部满足。</w:t>
      </w:r>
    </w:p>
    <w:p>
      <w:pPr>
        <w:spacing w:line="570" w:lineRule="atLeast"/>
        <w:rPr>
          <w:rFonts w:hint="default" w:ascii="Times New Roman" w:hAnsi="Times New Roman" w:cs="Times New Roman"/>
          <w:highlight w:val="none"/>
        </w:rPr>
      </w:pPr>
    </w:p>
    <w:p>
      <w:pPr>
        <w:pStyle w:val="2"/>
        <w:spacing w:line="570" w:lineRule="atLeast"/>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r>
        <w:rPr>
          <w:rFonts w:hint="default" w:ascii="Times New Roman" w:hAnsi="Times New Roman" w:eastAsia="方正小标宋_GBK" w:cs="Times New Roman"/>
          <w:color w:val="333333"/>
          <w:kern w:val="0"/>
          <w:sz w:val="32"/>
          <w:szCs w:val="32"/>
          <w:highlight w:val="none"/>
        </w:rPr>
        <w:t>报价表</w:t>
      </w:r>
    </w:p>
    <w:tbl>
      <w:tblPr>
        <w:tblStyle w:val="4"/>
        <w:tblW w:w="8411" w:type="dxa"/>
        <w:tblInd w:w="5" w:type="dxa"/>
        <w:shd w:val="clear" w:color="auto" w:fill="FFFFFF"/>
        <w:tblLayout w:type="fixed"/>
        <w:tblCellMar>
          <w:top w:w="0" w:type="dxa"/>
          <w:left w:w="0" w:type="dxa"/>
          <w:bottom w:w="0" w:type="dxa"/>
          <w:right w:w="0" w:type="dxa"/>
        </w:tblCellMar>
      </w:tblPr>
      <w:tblGrid>
        <w:gridCol w:w="750"/>
        <w:gridCol w:w="2021"/>
        <w:gridCol w:w="1455"/>
        <w:gridCol w:w="1935"/>
        <w:gridCol w:w="2250"/>
      </w:tblGrid>
      <w:tr>
        <w:tblPrEx>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序号</w:t>
            </w:r>
          </w:p>
        </w:tc>
        <w:tc>
          <w:tcPr>
            <w:tcW w:w="202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产品名称</w:t>
            </w:r>
          </w:p>
        </w:tc>
        <w:tc>
          <w:tcPr>
            <w:tcW w:w="14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仿宋_GB2312" w:cs="Times New Roman"/>
                <w:color w:val="333333"/>
                <w:kern w:val="0"/>
                <w:sz w:val="20"/>
                <w:szCs w:val="20"/>
                <w:highlight w:val="none"/>
                <w:lang w:val="en-US" w:eastAsia="zh-CN"/>
              </w:rPr>
            </w:pPr>
            <w:r>
              <w:rPr>
                <w:rFonts w:hint="default" w:ascii="Times New Roman" w:hAnsi="Times New Roman" w:eastAsia="仿宋_GB2312" w:cs="Times New Roman"/>
                <w:color w:val="333333"/>
                <w:kern w:val="0"/>
                <w:sz w:val="28"/>
                <w:szCs w:val="28"/>
                <w:highlight w:val="none"/>
              </w:rPr>
              <w:t>品牌</w:t>
            </w:r>
            <w:r>
              <w:rPr>
                <w:rFonts w:hint="default" w:ascii="Times New Roman" w:hAnsi="Times New Roman" w:eastAsia="仿宋_GB2312" w:cs="Times New Roman"/>
                <w:color w:val="333333"/>
                <w:kern w:val="0"/>
                <w:sz w:val="28"/>
                <w:szCs w:val="28"/>
                <w:highlight w:val="none"/>
                <w:lang w:val="en-US" w:eastAsia="zh-CN"/>
              </w:rPr>
              <w:t>/生产厂家</w:t>
            </w:r>
          </w:p>
        </w:tc>
        <w:tc>
          <w:tcPr>
            <w:tcW w:w="193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型号</w:t>
            </w:r>
          </w:p>
        </w:tc>
        <w:tc>
          <w:tcPr>
            <w:tcW w:w="2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单价（元）</w:t>
            </w:r>
          </w:p>
        </w:tc>
      </w:tr>
      <w:tr>
        <w:tblPrEx>
          <w:shd w:val="clear" w:color="auto" w:fill="FFFFFF"/>
          <w:tblLayout w:type="fixed"/>
          <w:tblCellMar>
            <w:top w:w="0" w:type="dxa"/>
            <w:left w:w="0" w:type="dxa"/>
            <w:bottom w:w="0" w:type="dxa"/>
            <w:right w:w="0" w:type="dxa"/>
          </w:tblCellMar>
        </w:tblPrEx>
        <w:trPr>
          <w:trHeight w:val="1525"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1</w:t>
            </w:r>
          </w:p>
        </w:tc>
        <w:tc>
          <w:tcPr>
            <w:tcW w:w="20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2250" w:type="dxa"/>
            <w:vMerge w:val="restart"/>
            <w:tcBorders>
              <w:top w:val="nil"/>
              <w:left w:val="nil"/>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仿宋" w:cs="Times New Roman"/>
                <w:color w:val="auto"/>
                <w:sz w:val="22"/>
                <w:highlight w:val="none"/>
                <w:lang w:val="en-US" w:eastAsia="zh-CN"/>
              </w:rPr>
              <w:t>挂网产品</w:t>
            </w:r>
            <w:r>
              <w:rPr>
                <w:rFonts w:hint="default" w:ascii="Times New Roman" w:hAnsi="Times New Roman" w:eastAsia="仿宋" w:cs="Times New Roman"/>
                <w:color w:val="auto"/>
                <w:sz w:val="22"/>
                <w:highlight w:val="none"/>
              </w:rPr>
              <w:t> 按照四</w:t>
            </w:r>
            <w:r>
              <w:rPr>
                <w:rFonts w:hint="default" w:ascii="Times New Roman" w:hAnsi="Times New Roman" w:eastAsia="仿宋" w:cs="Times New Roman"/>
                <w:color w:val="auto"/>
                <w:sz w:val="22"/>
                <w:highlight w:val="none"/>
                <w:lang w:eastAsia="zh-CN"/>
              </w:rPr>
              <w:t>川省</w:t>
            </w:r>
            <w:r>
              <w:rPr>
                <w:rFonts w:hint="default" w:ascii="Times New Roman" w:hAnsi="Times New Roman" w:eastAsia="仿宋" w:cs="Times New Roman"/>
                <w:color w:val="auto"/>
                <w:sz w:val="22"/>
                <w:highlight w:val="none"/>
              </w:rPr>
              <w:t>医保公共服务平台四川省挂网最低价结算</w:t>
            </w:r>
            <w:r>
              <w:rPr>
                <w:rFonts w:hint="default" w:ascii="Times New Roman" w:hAnsi="Times New Roman" w:eastAsia="仿宋" w:cs="Times New Roman"/>
                <w:color w:val="auto"/>
                <w:sz w:val="22"/>
                <w:highlight w:val="none"/>
                <w:lang w:val="en-US" w:eastAsia="zh-CN"/>
              </w:rPr>
              <w:t>/非挂网产品报价不能超过单价限价</w:t>
            </w:r>
          </w:p>
        </w:tc>
      </w:tr>
      <w:tr>
        <w:tblPrEx>
          <w:tblLayout w:type="fixed"/>
          <w:tblCellMar>
            <w:top w:w="0" w:type="dxa"/>
            <w:left w:w="0" w:type="dxa"/>
            <w:bottom w:w="0" w:type="dxa"/>
            <w:right w:w="0" w:type="dxa"/>
          </w:tblCellMar>
        </w:tblPrEx>
        <w:trPr>
          <w:trHeight w:val="1525"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2</w:t>
            </w:r>
          </w:p>
        </w:tc>
        <w:tc>
          <w:tcPr>
            <w:tcW w:w="202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5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93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2250" w:type="dxa"/>
            <w:vMerge w:val="continue"/>
            <w:tcBorders>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p>
        </w:tc>
      </w:tr>
    </w:tbl>
    <w:p>
      <w:pPr>
        <w:tabs>
          <w:tab w:val="left" w:pos="2142"/>
        </w:tabs>
        <w:spacing w:line="570" w:lineRule="atLeas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w:t>
      </w:r>
      <w:r>
        <w:rPr>
          <w:rFonts w:hint="default" w:ascii="Times New Roman" w:hAnsi="Times New Roman" w:eastAsia="方正仿宋_GBK" w:cs="Times New Roman"/>
          <w:sz w:val="28"/>
          <w:szCs w:val="28"/>
          <w:highlight w:val="none"/>
          <w:lang w:val="en-US" w:eastAsia="zh-CN"/>
        </w:rPr>
        <w:t>他</w:t>
      </w:r>
      <w:r>
        <w:rPr>
          <w:rFonts w:hint="default" w:ascii="Times New Roman" w:hAnsi="Times New Roman" w:eastAsia="方正仿宋_GBK" w:cs="Times New Roman"/>
          <w:sz w:val="28"/>
          <w:szCs w:val="28"/>
          <w:highlight w:val="none"/>
        </w:rPr>
        <w:t>费用。</w:t>
      </w:r>
    </w:p>
    <w:p>
      <w:pPr>
        <w:tabs>
          <w:tab w:val="left" w:pos="2142"/>
        </w:tabs>
        <w:spacing w:line="570" w:lineRule="atLeast"/>
        <w:ind w:firstLine="562" w:firstLineChars="200"/>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3.如有多种规格，请按每种规格分别报价。</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供应商名称：（盖章）</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法定代表人或授权代表（签字）：</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日期：</w:t>
      </w:r>
    </w:p>
    <w:p>
      <w:pPr>
        <w:spacing w:line="570" w:lineRule="atLeast"/>
        <w:jc w:val="center"/>
        <w:rPr>
          <w:rFonts w:hint="default" w:ascii="Times New Roman" w:hAnsi="Times New Roman" w:eastAsia="方正小标宋_GBK" w:cs="Times New Roman"/>
          <w:b/>
          <w:bCs/>
          <w:sz w:val="28"/>
          <w:szCs w:val="28"/>
          <w:highlight w:val="none"/>
        </w:rPr>
      </w:pPr>
    </w:p>
    <w:p>
      <w:pPr>
        <w:pStyle w:val="2"/>
        <w:spacing w:line="570" w:lineRule="atLeast"/>
        <w:rPr>
          <w:rFonts w:hint="default" w:ascii="Times New Roman" w:hAnsi="Times New Roman" w:eastAsia="方正小标宋_GBK" w:cs="Times New Roman"/>
          <w:b/>
          <w:bCs/>
          <w:sz w:val="28"/>
          <w:szCs w:val="28"/>
          <w:highlight w:val="none"/>
        </w:rPr>
      </w:pPr>
    </w:p>
    <w:p>
      <w:pPr>
        <w:tabs>
          <w:tab w:val="left" w:pos="6300"/>
        </w:tabs>
        <w:spacing w:line="570" w:lineRule="atLeast"/>
        <w:jc w:val="center"/>
        <w:rPr>
          <w:rFonts w:hint="default" w:ascii="Times New Roman" w:hAnsi="Times New Roman" w:eastAsia="方正仿宋_GBK" w:cs="Times New Roman"/>
          <w:sz w:val="28"/>
          <w:szCs w:val="28"/>
          <w:highlight w:val="none"/>
        </w:rPr>
      </w:pPr>
    </w:p>
    <w:p>
      <w:pPr>
        <w:tabs>
          <w:tab w:val="left" w:pos="6300"/>
        </w:tabs>
        <w:spacing w:line="570" w:lineRule="atLeast"/>
        <w:jc w:val="center"/>
        <w:rPr>
          <w:rFonts w:hint="default" w:ascii="Times New Roman" w:hAnsi="Times New Roman" w:eastAsia="方正仿宋_GBK" w:cs="Times New Roman"/>
          <w:sz w:val="28"/>
          <w:szCs w:val="28"/>
          <w:highlight w:val="none"/>
        </w:rPr>
      </w:pPr>
    </w:p>
    <w:p>
      <w:pPr>
        <w:tabs>
          <w:tab w:val="left" w:pos="6300"/>
        </w:tabs>
        <w:spacing w:line="570" w:lineRule="atLeas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响应表</w:t>
      </w:r>
    </w:p>
    <w:p>
      <w:pPr>
        <w:tabs>
          <w:tab w:val="left" w:pos="6300"/>
        </w:tabs>
        <w:spacing w:line="570" w:lineRule="atLeas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r>
    </w:tbl>
    <w:p>
      <w:pPr>
        <w:tabs>
          <w:tab w:val="left" w:pos="6300"/>
        </w:tabs>
        <w:spacing w:line="570" w:lineRule="atLeast"/>
        <w:ind w:firstLine="573"/>
        <w:rPr>
          <w:rFonts w:hint="default" w:ascii="Times New Roman" w:hAnsi="Times New Roman" w:eastAsia="方正仿宋_GBK" w:cs="Times New Roman"/>
          <w:sz w:val="24"/>
          <w:highlight w:val="none"/>
        </w:rPr>
      </w:pP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注意：竞标人必须据实填写，不得虚假响应，虚假响应的，其响应文件无效并按规定追究其相关责任</w:t>
      </w:r>
      <w:r>
        <w:rPr>
          <w:rFonts w:hint="default" w:ascii="Times New Roman" w:hAnsi="Times New Roman" w:eastAsia="方正仿宋_GBK" w:cs="Times New Roman"/>
          <w:b/>
          <w:bCs/>
          <w:sz w:val="24"/>
          <w:highlight w:val="none"/>
          <w:lang w:eastAsia="zh-CN"/>
        </w:rPr>
        <w:t>（</w:t>
      </w:r>
      <w:r>
        <w:rPr>
          <w:rFonts w:hint="default" w:ascii="Times New Roman" w:hAnsi="Times New Roman" w:eastAsia="方正仿宋_GBK" w:cs="Times New Roman"/>
          <w:b/>
          <w:bCs/>
          <w:sz w:val="24"/>
          <w:highlight w:val="none"/>
          <w:lang w:val="en-US" w:eastAsia="zh-CN"/>
        </w:rPr>
        <w:t>响应表包含商务服务要求、技术参数要求）</w:t>
      </w:r>
      <w:r>
        <w:rPr>
          <w:rFonts w:hint="default" w:ascii="Times New Roman" w:hAnsi="Times New Roman" w:eastAsia="方正仿宋_GBK" w:cs="Times New Roman"/>
          <w:sz w:val="24"/>
          <w:highlight w:val="none"/>
        </w:rPr>
        <w:t>。</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333333"/>
          <w:kern w:val="0"/>
          <w:sz w:val="24"/>
          <w:highlight w:val="none"/>
        </w:rPr>
        <w:t>投标人</w:t>
      </w:r>
      <w:r>
        <w:rPr>
          <w:rFonts w:hint="default" w:ascii="Times New Roman" w:hAnsi="Times New Roman" w:eastAsia="方正仿宋_GBK" w:cs="Times New Roman"/>
          <w:sz w:val="24"/>
          <w:highlight w:val="none"/>
        </w:rPr>
        <w:t>名称（加盖公章）：XXX</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 期：XXX年XXX月XXX日</w:t>
      </w:r>
    </w:p>
    <w:p>
      <w:pPr>
        <w:spacing w:line="570" w:lineRule="atLeast"/>
        <w:jc w:val="center"/>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jc w:val="center"/>
        <w:rPr>
          <w:rFonts w:hint="default" w:ascii="Times New Roman" w:hAnsi="Times New Roman" w:eastAsia="方正仿宋_GBK" w:cs="Times New Roman"/>
          <w:b/>
          <w:bCs/>
          <w:sz w:val="32"/>
          <w:szCs w:val="32"/>
          <w:highlight w:val="none"/>
        </w:rPr>
      </w:pPr>
    </w:p>
    <w:p>
      <w:pPr>
        <w:spacing w:line="570" w:lineRule="atLeast"/>
        <w:jc w:val="center"/>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质量保证书</w:t>
      </w:r>
    </w:p>
    <w:p>
      <w:pPr>
        <w:spacing w:line="570" w:lineRule="atLeast"/>
        <w:ind w:firstLine="360" w:firstLineChars="150"/>
        <w:rPr>
          <w:rFonts w:hint="default" w:ascii="Times New Roman" w:hAnsi="Times New Roman" w:eastAsia="方正仿宋_GBK" w:cs="Times New Roman"/>
          <w:sz w:val="24"/>
          <w:highlight w:val="none"/>
          <w:u w:val="single"/>
        </w:rPr>
      </w:pPr>
      <w:r>
        <w:rPr>
          <w:rFonts w:hint="default" w:ascii="Times New Roman" w:hAnsi="Times New Roman" w:eastAsia="方正仿宋_GBK" w:cs="Times New Roman"/>
          <w:sz w:val="24"/>
          <w:highlight w:val="none"/>
          <w:u w:val="single"/>
        </w:rPr>
        <w:t xml:space="preserve">           ：</w:t>
      </w:r>
    </w:p>
    <w:p>
      <w:pPr>
        <w:spacing w:line="570" w:lineRule="atLeast"/>
        <w:ind w:firstLine="630"/>
        <w:jc w:val="lef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w:t>
      </w:r>
      <w:r>
        <w:rPr>
          <w:rFonts w:hint="default" w:ascii="Times New Roman" w:hAnsi="Times New Roman" w:eastAsia="方正仿宋_GBK" w:cs="Times New Roman"/>
          <w:b/>
          <w:bCs/>
          <w:sz w:val="24"/>
          <w:highlight w:val="none"/>
        </w:rPr>
        <w:t>制造商家名称</w:t>
      </w:r>
      <w:r>
        <w:rPr>
          <w:rFonts w:hint="default" w:ascii="Times New Roman" w:hAnsi="Times New Roman" w:eastAsia="方正仿宋_GBK" w:cs="Times New Roman"/>
          <w:sz w:val="24"/>
          <w:highlight w:val="none"/>
        </w:rPr>
        <w:t>）是在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（国名）依法登记注册的，其地址现在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。其主要营业地点现在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w:t>
      </w:r>
    </w:p>
    <w:p>
      <w:pPr>
        <w:pStyle w:val="3"/>
        <w:spacing w:after="0" w:line="570" w:lineRule="atLeast"/>
        <w:ind w:left="0" w:leftChars="0" w:firstLine="600" w:firstLineChars="25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hint="default" w:ascii="Times New Roman" w:hAnsi="Times New Roman" w:eastAsia="方正仿宋_GBK" w:cs="Times New Roman"/>
          <w:sz w:val="24"/>
          <w:highlight w:val="none"/>
        </w:rPr>
      </w:pP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供应商单位名称：       （盖章） </w:t>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供应商单位法定代表人或授权代表（签字）：        </w:t>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日期：</w:t>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附：授权销售产品清单</w:t>
      </w:r>
    </w:p>
    <w:p>
      <w:pPr>
        <w:spacing w:line="570" w:lineRule="atLeast"/>
        <w:rPr>
          <w:rFonts w:hint="default" w:ascii="Times New Roman" w:hAnsi="Times New Roman" w:eastAsia="方正仿宋_GBK" w:cs="Times New Roman"/>
          <w:sz w:val="22"/>
          <w:szCs w:val="22"/>
          <w:highlight w:val="none"/>
        </w:rPr>
      </w:pPr>
      <w:bookmarkStart w:id="2" w:name="_Toc237343703"/>
      <w:bookmarkStart w:id="3" w:name="_Toc95295163"/>
      <w:bookmarkStart w:id="4" w:name="_Toc174767233"/>
    </w:p>
    <w:p>
      <w:pPr>
        <w:spacing w:line="570" w:lineRule="atLeast"/>
        <w:rPr>
          <w:rFonts w:hint="default" w:ascii="Times New Roman" w:hAnsi="Times New Roman" w:eastAsia="方正仿宋_GBK" w:cs="Times New Roman"/>
          <w:sz w:val="22"/>
          <w:szCs w:val="22"/>
          <w:highlight w:val="none"/>
        </w:rPr>
      </w:pPr>
    </w:p>
    <w:p>
      <w:pPr>
        <w:spacing w:line="570" w:lineRule="atLeast"/>
        <w:rPr>
          <w:rFonts w:hint="default" w:ascii="Times New Roman" w:hAnsi="Times New Roman" w:eastAsia="方正仿宋_GBK" w:cs="Times New Roman"/>
          <w:b/>
          <w:bCs/>
          <w:sz w:val="28"/>
          <w:szCs w:val="28"/>
          <w:highlight w:val="none"/>
        </w:rPr>
      </w:pPr>
    </w:p>
    <w:p>
      <w:pPr>
        <w:spacing w:line="570" w:lineRule="atLeast"/>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jc w:val="center"/>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法定代表人身份授权书</w:t>
      </w:r>
    </w:p>
    <w:p>
      <w:pPr>
        <w:spacing w:line="570" w:lineRule="atLeast"/>
        <w:rPr>
          <w:rFonts w:hint="default" w:ascii="Times New Roman" w:hAnsi="Times New Roman" w:eastAsia="方正仿宋_GBK" w:cs="Times New Roman"/>
          <w:b/>
          <w:bCs/>
          <w:sz w:val="28"/>
          <w:szCs w:val="28"/>
          <w:highlight w:val="none"/>
        </w:rPr>
      </w:pPr>
    </w:p>
    <w:p>
      <w:pPr>
        <w:tabs>
          <w:tab w:val="left" w:pos="6300"/>
        </w:tabs>
        <w:spacing w:line="570" w:lineRule="atLeast"/>
        <w:rPr>
          <w:rFonts w:hint="default" w:ascii="Times New Roman" w:hAnsi="Times New Roman" w:eastAsia="方正仿宋_GBK" w:cs="Times New Roman"/>
          <w:color w:val="000000"/>
          <w:sz w:val="24"/>
          <w:highlight w:val="none"/>
          <w:lang w:val="zh-CN"/>
        </w:rPr>
      </w:pP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000000"/>
          <w:sz w:val="24"/>
          <w:highlight w:val="none"/>
          <w:lang w:val="zh-CN"/>
        </w:rPr>
        <w:t xml:space="preserve">   本授权声明：</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（投标人名称）</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（法定代表人姓名、职务）授权</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（被授权人姓名、职务）为我方</w:t>
      </w:r>
      <w:r>
        <w:rPr>
          <w:rFonts w:hint="default" w:ascii="Times New Roman" w:hAnsi="Times New Roman" w:eastAsia="方正仿宋_GBK" w:cs="Times New Roman"/>
          <w:color w:val="000000"/>
          <w:sz w:val="24"/>
          <w:highlight w:val="none"/>
          <w:u w:val="single"/>
          <w:lang w:val="zh-CN"/>
        </w:rPr>
        <w:t xml:space="preserve"> “                                          ”</w:t>
      </w:r>
      <w:r>
        <w:rPr>
          <w:rFonts w:hint="default"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特此声明。</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法定代表人签字：</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授权代表签字：</w:t>
      </w:r>
    </w:p>
    <w:p>
      <w:pPr>
        <w:spacing w:line="570" w:lineRule="atLeast"/>
        <w:ind w:firstLine="48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投标人名称：</w:t>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 xml:space="preserve">      （加盖公章）</w:t>
      </w:r>
    </w:p>
    <w:p>
      <w:pPr>
        <w:spacing w:line="570" w:lineRule="atLeast"/>
        <w:ind w:firstLine="48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日期：</w:t>
      </w:r>
    </w:p>
    <w:p>
      <w:pPr>
        <w:tabs>
          <w:tab w:val="left" w:pos="6300"/>
        </w:tabs>
        <w:spacing w:line="570" w:lineRule="atLeas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    ★说明：上述证明文件附有法定代表人、被授权代表身份证复印件（加盖公章）时才能生效。</w:t>
      </w:r>
      <w:bookmarkEnd w:id="2"/>
      <w:bookmarkEnd w:id="3"/>
      <w:bookmarkEnd w:id="4"/>
    </w:p>
    <w:p>
      <w:pPr>
        <w:spacing w:line="570" w:lineRule="atLeast"/>
        <w:rPr>
          <w:rFonts w:hint="default" w:ascii="Times New Roman" w:hAnsi="Times New Roman" w:eastAsia="方正仿宋_GBK" w:cs="Times New Roman"/>
          <w:highlight w:val="none"/>
        </w:rPr>
      </w:pPr>
    </w:p>
    <w:p>
      <w:pPr>
        <w:spacing w:after="120" w:line="570" w:lineRule="atLeast"/>
        <w:jc w:val="both"/>
        <w:rPr>
          <w:rFonts w:hint="default"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92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2026-06-11T06:11:44Z</dcterms:created>
  <dc:creator>OS</dc:creator>
  <cp:lastModifiedBy>們泊冬吴@^_^</cp:lastModifiedBy>
  <dcterms:modified xsi:type="dcterms:W3CDTF">2026-06-11T06:13:23Z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