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一号楼4-8楼纱窗采购项目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8.6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</w:p>
    <w:p>
      <w:pPr>
        <w:pStyle w:val="2"/>
        <w:spacing w:after="0" w:line="570" w:lineRule="atLeas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1.一般纱窗（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680*1250mm、780*1250mm、880*1250mm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（最终以实际测量为准）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预估数量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350个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3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消防救援窗口纱窗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1450*1250mm（最终以实际测量为准）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预估数量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5个。</w:t>
      </w:r>
    </w:p>
    <w:p>
      <w:pPr>
        <w:ind w:firstLine="56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/>
          <w:lang w:val="en-US" w:eastAsia="zh-CN"/>
          <w14:ligatures w14:val="standardContextual"/>
        </w:rPr>
        <w:t>注：最终数量和纱窗规格以现场实际测量为准，报价需包含测量费、安装费、安装后的调试费、税费等所有费用。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1. 履行期限：自合同签订起40日内。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2. 履行地点：成都市金牛区妇幼保健院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3. 付款条件：按实际安装的数量据实结算，合同签订后，验收合格，供应商出具完整有效的发票资料后30日支付完成。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4.质量要求：能防蚊虫进入室内等。</w:t>
      </w:r>
    </w:p>
    <w:p>
      <w:pPr>
        <w:ind w:firstLine="280" w:firstLineChars="100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5. 售后服务：保修期3年。产品保修期内若产生质量问题，卖方无条件保修包换。产品过保修期后产生质量问题，由买方和卖方协商解决。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（三）技术参数/服务要求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1.一般纱窗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（1）纱窗类型：口袋锁纱窗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（2）纱网材质：304不锈钢高透网，目数≥35*18目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（3）纱窗厚度：2.5cm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（4）纱窗边框料宽：1.0cm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（5）小扇宽：3.2cm，大扇宽:6.5cm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（6）五金配件：优质合页、执手、传动锁闭组件，启闭顺畅，耐用防锈。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（7）安装方式：专用安装螺丝固定于原窗框或墙体，确保牢固、无缝隙、不破坏原有窗扇密封性；测量与安装不影响患者及家属，满足临床科室需求。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2.消防救援窗口纱窗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（1）选择纱窗类型：30平开纱窗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（2）纱网材质：304不锈钢金刚网，目数≥11目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（3）纱窗厚度：3cm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（4）纱窗边框料宽：内2cm外4cm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（5）开启扇边框宽：5.8cm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（6）五金配件：优质合页、执手、传动锁闭组件，启闭顺畅，耐用防锈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。</w:t>
      </w:r>
    </w:p>
    <w:p>
      <w:pPr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shd w:val="clear"/>
          <w:lang w:val="en-US" w:eastAsia="zh-CN"/>
          <w14:ligatures w14:val="standardContextual"/>
        </w:rPr>
        <w:t>（7）安装方式：专用安装螺丝固定于原窗框或墙体，确保牢固、无缝隙、不破坏原有窗扇密封性；测量与安装不影响患者及家属，满足临床科室需求。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/>
    <w:p>
      <w:pPr>
        <w:pStyle w:val="2"/>
        <w:spacing w:line="570" w:lineRule="atLeast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4"/>
        <w:tblW w:w="8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47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一号楼4-8楼纱窗采购项目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人民币：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元，</w:t>
            </w:r>
          </w:p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元。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/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响应表包含商务服务要求、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技术参数/服务要求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</w:pPr>
    </w:p>
    <w:p/>
    <w:p/>
    <w:p/>
    <w:p/>
    <w:p>
      <w:pPr>
        <w:pStyle w:val="2"/>
        <w:rPr>
          <w:b/>
          <w:bCs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格式自拟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95295163"/>
      <w:bookmarkStart w:id="1" w:name="_Toc174767233"/>
      <w:bookmarkStart w:id="2" w:name="_Toc23734370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pStyle w:val="2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pStyle w:val="2"/>
        <w:rPr>
          <w:rFonts w:ascii="Times New Roman" w:hAnsi="Times New Roman" w:eastAsia="方正仿宋_GBK" w:cs="Times New Roman"/>
          <w:sz w:val="22"/>
          <w:szCs w:val="22"/>
        </w:rPr>
      </w:pPr>
    </w:p>
    <w:p/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2026-04-16T06:07:47Z</dcterms:created>
  <dc:creator>OS</dc:creator>
  <cp:lastModifiedBy>們泊冬吴@^_^</cp:lastModifiedBy>
  <dcterms:modified xsi:type="dcterms:W3CDTF">2026-04-16T06:10:29Z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