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一号楼七楼改造项目审计单位采购项目。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3"/>
        <w:tblW w:w="85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744"/>
        <w:gridCol w:w="6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  <w:t>内容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ind w:left="210" w:leftChars="10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服务期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采购合同签订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生效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之日起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服务</w:t>
            </w: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地点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采购人指定地点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报价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ind w:left="210" w:leftChars="100"/>
              <w:jc w:val="both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报价应是完成本项目所有采购内容和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文件规定的其它全部费用，最终用户验收合格后的总价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合同价款支付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项目完成并经采购人验收合格后，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支付合同总价款的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  <w:t>%；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0" w:name="_Toc28829"/>
            <w:bookmarkStart w:id="1" w:name="_Toc32743"/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zh-CN"/>
              </w:rPr>
              <w:t>履约验收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ind w:left="210" w:leftChars="100"/>
              <w:jc w:val="both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bookmarkEnd w:id="0"/>
      <w:bookmarkEnd w:id="1"/>
    </w:tbl>
    <w:p>
      <w:pPr>
        <w:numPr>
          <w:ilvl w:val="0"/>
          <w:numId w:val="1"/>
        </w:numPr>
        <w:spacing w:after="0" w:line="570" w:lineRule="atLeast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技术服务要求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1.根据《中华人民共和国审计法》、《中华人民共和国审计法实施条例》、《中华人民共和国国家审计准则》等相关法律法规的要求，独立、客观、公正的开展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跟踪审核及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竣工结算审核工作。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2.协助开展调查了解、编制调查了解记录及审计实施方案、获取审计证据、编制审计取证记录和审计工作底稿、起草并编制审计报告、归整审计档案等工作。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3.严格遵守审计纪律及廉政规定和保密规定，不得泄露被审计单位的秘密，不得擅自对外公布审计调查情况或审计调查信息。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4.成果要求：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审计成果资料包括审计实施方案、审计工作底稿、审计计算底稿、现场踏勘记录、审计报告。成交供应商须提供纸质资料3套，电子文档1套。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严格执行国家审计法律、法规、规章，遵守行业执业准则、职业道德规范和廉洁从业纪律规定，不得将协审项目转包或分包给其他单位和个人。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供应商应服从采购人的管理，接受采购人对其成果文件的复核和监督。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除满足《建设工程造价咨询规范》（GB/T51095）、《建设工程造价咨询成果文件质量标准》（CECA/GC7）等国家相关法规制度要求标准外，还包括按照合同约定，制定审计实施方案，组织人员参与审计，按时保质完成审计内容，实现审计目标，对审计程序、审计结果的真实性、合法性、完整性负责，并承担相应法律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严格遵守国家保密规定，不得向外泄露审计成果及相关信息，不利用审计获取的信息牟取利益或用于其他与审计无关的任何事项。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严格遵守国家审计机关“八不准”工作纪律和“四严禁”工作要求及其他廉政纪律规定。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10.安全要求: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项目实施过程中的全部安全责任由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自行负全责，在服务期间因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自身造成的一切纠纷由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自行负责。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按照或优于国家相关法律法规及现行行业规范执行。供应商提供成果须符合国家及地方政策法规、有关行业技术标准和规范，满足当地政府及建设行政主管部门的规定。内容齐全、详细、完善、科学合理，格式规范、逻辑层次清晰、语言准确精练、图文字表格要相符，结论明确，满足本项目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供应商需承担深化成果及有关主管部门审查而出现的反复修改工作， 根据采购人、各级主管部门、各级审批部门审查组的评审意见修改、补充和完善成果资料，确保本项目通过审查，最终取得审批部门对本项目批复。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采购人有权任意使用本项目涉及的相关知识产权，如有涉及任何知识产权的纠纷，均由供应商负责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after="0" w:line="570" w:lineRule="atLeas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spacing w:line="570" w:lineRule="atLeast"/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  <w:t>报价表</w:t>
      </w:r>
    </w:p>
    <w:tbl>
      <w:tblPr>
        <w:tblStyle w:val="3"/>
        <w:tblW w:w="11139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4863"/>
        <w:gridCol w:w="2332"/>
        <w:gridCol w:w="32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报价（元）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跟踪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费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竣工结算审核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审减效益费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结算审核效益率只报费率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不含审减效益费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</w:rPr>
        <w:t>报价应是完成本项目所有采购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</w:rPr>
        <w:t>内容和采购文件规定的其它全部费用，最终用户验收合格后的总价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color w:val="auto"/>
          <w:sz w:val="28"/>
          <w:szCs w:val="28"/>
          <w:highlight w:val="none"/>
        </w:rPr>
      </w:pPr>
    </w:p>
    <w:p/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bookmarkStart w:id="2" w:name="_Toc237343703"/>
      <w:bookmarkStart w:id="3" w:name="_Toc95295163"/>
      <w:bookmarkStart w:id="4" w:name="_Toc174767233"/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2"/>
      <w:bookmarkEnd w:id="3"/>
      <w:bookmarkEnd w:id="4"/>
    </w:p>
    <w:p>
      <w:pPr>
        <w:spacing w:line="570" w:lineRule="atLeast"/>
        <w:rPr>
          <w:rFonts w:ascii="Times New Roman" w:hAnsi="Times New Roman" w:eastAsia="方正仿宋_GBK" w:cs="Times New Roman"/>
          <w:color w:val="auto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auto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auto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auto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auto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日期：   年    月    日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0CC67"/>
    <w:multiLevelType w:val="singleLevel"/>
    <w:tmpl w:val="5720CC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2025-11-28T03:38:47Z</dcterms:created>
  <dc:creator>OS</dc:creator>
  <cp:lastModifiedBy>們泊冬吴@^_^</cp:lastModifiedBy>
  <dcterms:modified xsi:type="dcterms:W3CDTF">2025-11-28T03:40:26Z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