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spacing w:after="0" w:line="570" w:lineRule="atLeast"/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定制生活垃圾暂存间采购项目。</w:t>
      </w:r>
    </w:p>
    <w:p>
      <w:pPr>
        <w:pStyle w:val="3"/>
        <w:spacing w:after="0" w:line="570" w:lineRule="atLeast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2.4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3"/>
        <w:spacing w:after="0" w:line="570" w:lineRule="atLeast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>
      <w:pPr>
        <w:pStyle w:val="3"/>
        <w:spacing w:after="0" w:line="570" w:lineRule="atLeast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6"/>
        <w:tblpPr w:leftFromText="180" w:rightFromText="180" w:vertAnchor="text" w:horzAnchor="page" w:tblpX="1972" w:tblpY="108"/>
        <w:tblOverlap w:val="never"/>
        <w:tblW w:w="849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445"/>
        <w:gridCol w:w="836"/>
        <w:gridCol w:w="2884"/>
        <w:gridCol w:w="154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物资名称</w:t>
            </w:r>
          </w:p>
        </w:tc>
        <w:tc>
          <w:tcPr>
            <w:tcW w:w="8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单位</w:t>
            </w:r>
          </w:p>
        </w:tc>
        <w:tc>
          <w:tcPr>
            <w:tcW w:w="2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规格型号</w:t>
            </w:r>
          </w:p>
        </w:tc>
        <w:tc>
          <w:tcPr>
            <w:tcW w:w="154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数量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24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生活垃圾暂存间</w:t>
            </w:r>
          </w:p>
        </w:tc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座</w:t>
            </w:r>
          </w:p>
        </w:tc>
        <w:tc>
          <w:tcPr>
            <w:tcW w:w="2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长4m*宽2m*高3m</w:t>
            </w:r>
          </w:p>
        </w:tc>
        <w:tc>
          <w:tcPr>
            <w:tcW w:w="15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1</w:t>
            </w: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pStyle w:val="3"/>
        <w:spacing w:line="570" w:lineRule="atLeast"/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1.履行期限：自合同签订起20日内。</w:t>
      </w:r>
    </w:p>
    <w:p>
      <w:pPr>
        <w:pStyle w:val="3"/>
        <w:spacing w:line="570" w:lineRule="atLeast"/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2.履行地点：成都市金牛区妇幼保健院</w:t>
      </w:r>
    </w:p>
    <w:p>
      <w:pPr>
        <w:pStyle w:val="3"/>
        <w:spacing w:line="570" w:lineRule="atLeast"/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3.付款条件：安装调试验收合格后，供应商出具合法有效的增值税发票等资料后30日内支付完成。</w:t>
      </w:r>
    </w:p>
    <w:p>
      <w:pPr>
        <w:pStyle w:val="3"/>
        <w:spacing w:line="570" w:lineRule="atLeast"/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4.质量保修范围和保修期：由于乙方原因造成质量问题，乙方无条件地进行维修。质保期两年（防水工程质保期5年），质保期从验收合格之日起计算。</w:t>
      </w:r>
    </w:p>
    <w:p>
      <w:pPr>
        <w:pStyle w:val="3"/>
        <w:spacing w:line="570" w:lineRule="atLeas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5.责任与解决方法：产品保修期内若产生质量问题，供货方无条件保修包换。产品过保修期后产生质量问题，由采购人和供货方协商解决。</w:t>
      </w:r>
    </w:p>
    <w:p>
      <w:pPr>
        <w:numPr>
          <w:ilvl w:val="0"/>
          <w:numId w:val="0"/>
        </w:numPr>
        <w:spacing w:after="0" w:line="570" w:lineRule="atLeast"/>
        <w:ind w:leftChars="0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（三）定制设施要求：</w:t>
      </w:r>
    </w:p>
    <w:p>
      <w:pPr>
        <w:spacing w:beforeLines="50" w:afterLines="50" w:line="360" w:lineRule="auto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1.设施面积：基础占地面积不得超过长4m*宽2m*高3m</w:t>
      </w:r>
    </w:p>
    <w:p>
      <w:pPr>
        <w:numPr>
          <w:ilvl w:val="0"/>
          <w:numId w:val="0"/>
        </w:numPr>
        <w:spacing w:beforeLines="50" w:afterLines="50" w:line="360" w:lineRule="auto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2.设施各项功能及使用</w:t>
      </w:r>
    </w:p>
    <w:p>
      <w:pPr>
        <w:pStyle w:val="10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2.1垃圾分类标识：在生活垃圾暂存间外部显著位置张贴生活垃圾分类标识牌、分类目录及制度等标识应符合相关标准要求。</w:t>
      </w:r>
    </w:p>
    <w:p>
      <w:pPr>
        <w:pStyle w:val="10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2.2透气性：垃圾房侧面上方有透气百叶窗、且在室内合适位置安装换气扇1台、除臭臭氧机1台、灭蝇灯1台。</w:t>
      </w:r>
    </w:p>
    <w:p>
      <w:pPr>
        <w:pStyle w:val="10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2.3冲洗设备（含拖把池）：标准拖把池，配双接头可接冲洗水管水龙头、高压水枪1个。</w:t>
      </w:r>
    </w:p>
    <w:p>
      <w:pPr>
        <w:pStyle w:val="10"/>
        <w:numPr>
          <w:ilvl w:val="0"/>
          <w:numId w:val="0"/>
        </w:numPr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2.4电源设备、内管线材质：LED照明一盏，各项线路开关内含漏电保护开关、室内各电源设备线路规格不得低于4㎡铜芯线。</w:t>
      </w:r>
    </w:p>
    <w:p>
      <w:pPr>
        <w:pStyle w:val="3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2.5生活垃圾暂存间下面要有轮子，便于移动。轮子称重要达到≥10吨。</w:t>
      </w:r>
    </w:p>
    <w:p>
      <w:pPr>
        <w:ind w:firstLine="560" w:firstLineChars="200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2.6生活垃圾暂存间设施应配置1个斜坡垫，材质为橡胶材料，承重量≥10吨。斜坡垫尺寸应满足医废转运车出入的需要。</w:t>
      </w:r>
    </w:p>
    <w:p>
      <w:pPr>
        <w:pStyle w:val="10"/>
        <w:numPr>
          <w:ilvl w:val="0"/>
          <w:numId w:val="0"/>
        </w:numPr>
        <w:ind w:firstLine="560" w:firstLineChars="200"/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2.7室内设施配置：灭蚊蝇灯、高压水枪、拖把池、水龙头、消防烟感报警器。</w:t>
      </w:r>
    </w:p>
    <w:p>
      <w:pPr>
        <w:widowControl/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2.8地面：地面为地砖防腐蚀、防渗漏；地面有1个排水，连接至污水管道。</w:t>
      </w:r>
    </w:p>
    <w:p>
      <w:pPr>
        <w:widowControl/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2.9屋顶：屋顶为斜面，避免积水导致漏雨现象。</w:t>
      </w:r>
    </w:p>
    <w:p>
      <w:pPr>
        <w:pStyle w:val="2"/>
        <w:numPr>
          <w:ilvl w:val="1"/>
          <w:numId w:val="0"/>
        </w:numPr>
        <w:ind w:firstLine="560" w:firstLineChars="200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3.采购设施详细技术及标准</w:t>
      </w:r>
    </w:p>
    <w:p>
      <w:pPr>
        <w:spacing w:beforeLines="50" w:afterLines="50" w:line="360" w:lineRule="auto"/>
        <w:ind w:firstLine="560" w:firstLineChars="200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3.1设施要求:外观简约大气和医院楼宇颜色保持同一色调，具有使用方便，防雨，防潮等</w:t>
      </w:r>
    </w:p>
    <w:p>
      <w:pPr>
        <w:pStyle w:val="9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3.1.1材质要求</w:t>
      </w:r>
    </w:p>
    <w:p>
      <w:pPr>
        <w:pStyle w:val="10"/>
        <w:numPr>
          <w:ilvl w:val="0"/>
          <w:numId w:val="0"/>
        </w:numPr>
        <w:ind w:left="316" w:left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（1）外墙材质：金属雕花板</w:t>
      </w:r>
    </w:p>
    <w:p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结构龙骨：2.0mm镀锌方管</w:t>
      </w:r>
    </w:p>
    <w:p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内墙材质：内墙装饰板、吊顶为纳米纤维板</w:t>
      </w:r>
    </w:p>
    <w:p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夹层材料：内部填充防火保温材料</w:t>
      </w:r>
    </w:p>
    <w:p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斜面房顶材质：轻型、耐用、防水、防腐、隔热</w:t>
      </w:r>
    </w:p>
    <w:p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双开门材质：轻型耐用、防水、防腐材质，尺寸为1600*2050㎜</w:t>
      </w:r>
    </w:p>
    <w:p>
      <w:pPr>
        <w:pStyle w:val="10"/>
        <w:numPr>
          <w:ilvl w:val="0"/>
          <w:numId w:val="2"/>
        </w:numPr>
        <w:ind w:left="316" w:leftChars="0" w:firstLine="0" w:firstLineChars="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生活垃圾暂存间应配置1个斜坡垫，材质为橡胶材料，与生活垃圾暂存间门尺寸一样宽。</w:t>
      </w:r>
    </w:p>
    <w:p>
      <w:pPr>
        <w:pStyle w:val="5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3.1.2安装要求</w:t>
      </w:r>
    </w:p>
    <w:p>
      <w:pPr>
        <w:pStyle w:val="5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（1）供应商需将安装基座施工图提供给采购人</w:t>
      </w:r>
    </w:p>
    <w:p>
      <w:pPr>
        <w:pStyle w:val="5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（2）设施设备安装符合国家相关规定</w:t>
      </w:r>
    </w:p>
    <w:p>
      <w:pPr>
        <w:pStyle w:val="5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（3）供应商需根据采购人要求提供设备安装其安装包含（安装包含设施运输费、吊运费、人员作业经费和供应商负责安装过程的各项安全费、辅料等）</w:t>
      </w:r>
    </w:p>
    <w:p>
      <w:pPr>
        <w:pStyle w:val="5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3.1.3详细技术服务要求</w:t>
      </w:r>
    </w:p>
    <w:p>
      <w:pPr>
        <w:ind w:firstLine="280" w:firstLineChars="100"/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投标时需提供内外3D效果图，尺寸图及垃圾回收宣传画</w:t>
      </w:r>
    </w:p>
    <w:p>
      <w:pPr>
        <w:spacing w:after="0" w:line="570" w:lineRule="atLeas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32"/>
          <w:szCs w:val="32"/>
          <w:highlight w:val="none"/>
        </w:rPr>
        <w:t>报价表</w:t>
      </w:r>
    </w:p>
    <w:tbl>
      <w:tblPr>
        <w:tblStyle w:val="6"/>
        <w:tblW w:w="1002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583"/>
        <w:gridCol w:w="45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报价（元）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定制生活垃圾暂存间采购项目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0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合计金额（大写）：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9"/>
        <w:rPr>
          <w:color w:val="auto"/>
          <w:highlight w:val="none"/>
        </w:rPr>
      </w:pPr>
    </w:p>
    <w:p>
      <w:pPr>
        <w:pStyle w:val="10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10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10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10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10"/>
        <w:rPr>
          <w:rFonts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3"/>
        <w:spacing w:line="570" w:lineRule="atLeast"/>
        <w:rPr>
          <w:rFonts w:eastAsia="方正小标宋_GBK"/>
          <w:b/>
          <w:bCs/>
          <w:color w:val="auto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 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3"/>
        <w:spacing w:line="570" w:lineRule="atLeast"/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3"/>
        <w:spacing w:line="570" w:lineRule="atLeast"/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>
      <w:pPr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3"/>
        <w:spacing w:line="570" w:lineRule="atLeast"/>
        <w:rPr>
          <w:rFonts w:eastAsia="方正仿宋_GBK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质量保证书</w:t>
      </w:r>
    </w:p>
    <w:p>
      <w:pPr>
        <w:spacing w:line="570" w:lineRule="atLeast"/>
        <w:ind w:firstLine="360" w:firstLineChars="150"/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：</w:t>
      </w:r>
    </w:p>
    <w:p>
      <w:pPr>
        <w:spacing w:line="570" w:lineRule="atLeast"/>
        <w:ind w:firstLine="630"/>
        <w:jc w:val="left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（</w:t>
      </w:r>
      <w:r>
        <w:rPr>
          <w:rFonts w:ascii="Times New Roman" w:hAnsi="Times New Roman" w:eastAsia="方正仿宋_GBK" w:cs="Times New Roman"/>
          <w:b/>
          <w:bCs/>
          <w:color w:val="auto"/>
          <w:sz w:val="24"/>
          <w:highlight w:val="none"/>
        </w:rPr>
        <w:t>制造商家名称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）是在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.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（国名）依法登记注册的，其地址现在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。其主要营业地点现在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。</w:t>
      </w:r>
    </w:p>
    <w:p>
      <w:pPr>
        <w:pStyle w:val="4"/>
        <w:spacing w:after="0" w:line="570" w:lineRule="atLeast"/>
        <w:ind w:left="0" w:leftChars="0" w:firstLine="600" w:firstLineChars="25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spacing w:line="570" w:lineRule="atLeast"/>
        <w:ind w:firstLine="63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日期：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附：授权销售产品清单</w:t>
      </w:r>
    </w:p>
    <w:p>
      <w:pPr>
        <w:spacing w:line="570" w:lineRule="atLeast"/>
        <w:rPr>
          <w:rFonts w:ascii="Times New Roman" w:hAnsi="Times New Roman" w:eastAsia="方正仿宋_GBK" w:cs="Times New Roman"/>
          <w:color w:val="auto"/>
          <w:sz w:val="22"/>
          <w:szCs w:val="22"/>
          <w:highlight w:val="none"/>
        </w:rPr>
      </w:pPr>
      <w:bookmarkStart w:id="0" w:name="_Toc95295163"/>
      <w:bookmarkStart w:id="1" w:name="_Toc237343703"/>
      <w:bookmarkStart w:id="2" w:name="_Toc174767233"/>
    </w:p>
    <w:p>
      <w:pPr>
        <w:spacing w:line="570" w:lineRule="atLeast"/>
        <w:rPr>
          <w:rFonts w:ascii="Times New Roman" w:hAnsi="Times New Roman" w:eastAsia="方正仿宋_GBK" w:cs="Times New Roman"/>
          <w:color w:val="auto"/>
          <w:sz w:val="22"/>
          <w:szCs w:val="2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color w:val="auto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  <w:color w:val="auto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auto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1915EF"/>
    <w:multiLevelType w:val="singleLevel"/>
    <w:tmpl w:val="E91915EF"/>
    <w:lvl w:ilvl="0" w:tentative="0">
      <w:start w:val="1"/>
      <w:numFmt w:val="decimal"/>
      <w:suff w:val="nothing"/>
      <w:lvlText w:val="（%1）"/>
      <w:lvlJc w:val="left"/>
      <w:pPr>
        <w:ind w:left="316" w:leftChars="0" w:firstLine="0" w:firstLineChars="0"/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4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/>
      <w:outlineLvl w:val="1"/>
    </w:pPr>
    <w:rPr>
      <w:rFonts w:ascii="Arial" w:hAnsi="Arial" w:eastAsia="仿宋"/>
      <w:b/>
      <w:bCs/>
      <w:sz w:val="28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toc 1"/>
    <w:basedOn w:val="1"/>
    <w:next w:val="1"/>
    <w:qFormat/>
    <w:uiPriority w:val="39"/>
    <w:pPr>
      <w:tabs>
        <w:tab w:val="left" w:pos="709"/>
        <w:tab w:val="right" w:leader="dot" w:pos="8364"/>
      </w:tabs>
      <w:spacing w:before="120" w:after="120"/>
      <w:jc w:val="left"/>
    </w:pPr>
    <w:rPr>
      <w:rFonts w:ascii="华文中宋" w:hAnsi="华文中宋" w:eastAsia="华文中宋"/>
      <w:bCs/>
      <w:caps/>
      <w:sz w:val="20"/>
      <w:szCs w:val="20"/>
    </w:rPr>
  </w:style>
  <w:style w:type="table" w:styleId="7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2025-11-28T02:25:57Z</dcterms:created>
  <dc:creator>OS</dc:creator>
  <cp:lastModifiedBy>們泊冬吴@^_^</cp:lastModifiedBy>
  <dcterms:modified xsi:type="dcterms:W3CDTF">2025-11-28T02:28:21Z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