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高性能算力计算机采购项目。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2"/>
        <w:spacing w:after="0" w:line="570" w:lineRule="atLeast"/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:1台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59" w:leftChars="266" w:right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1.交货时间：自合同签订后10天内。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2.交货地点：成都市金牛区妇幼保健院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3.付款方式：项目验收后，采购人收到供应商合法、有效发票资料后支付合同金额的100%。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4.履约验收：参照《财政部关于进一步加强政府采购需求和履约验收管理的指导意见》（财库〔2016〕205号）等政府采购相关法律法规的要求进行。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5.质保期：1年（从验收合格之日起计算）。质保期内中标人应负责系统及设备维修维护。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6.包装方式及运输：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>
      <w:pPr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技术参数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处理器：英特尔酷睿 U9-285K/英特尔酷睿 i9-14900K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显卡：NVIDIA GeForce RTX 5080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内存：64G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fill="FFFFFF"/>
          <w:lang w:val="en-US" w:eastAsia="zh-CN"/>
        </w:rPr>
        <w:t>存储：2T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5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  <w:bookmarkStart w:id="0" w:name="_Toc237343703"/>
      <w:bookmarkStart w:id="1" w:name="_Toc9529516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B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2025-11-12T01:32:10Z</dcterms:created>
  <dc:creator>OS</dc:creator>
  <cp:lastModifiedBy>們泊冬吴@^_^</cp:lastModifiedBy>
  <dcterms:modified xsi:type="dcterms:W3CDTF">2025-11-12T01:33:35Z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