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新生儿转运系统设备采购项目。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w:t>
      </w: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8</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★（一）配置清单：</w:t>
      </w:r>
    </w:p>
    <w:tbl>
      <w:tblPr>
        <w:tblStyle w:val="4"/>
        <w:tblpPr w:leftFromText="180" w:rightFromText="180" w:vertAnchor="text" w:horzAnchor="page" w:tblpX="1840" w:tblpY="51"/>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899"/>
        <w:gridCol w:w="3752"/>
        <w:gridCol w:w="155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序号</w:t>
            </w:r>
          </w:p>
        </w:tc>
        <w:tc>
          <w:tcPr>
            <w:tcW w:w="3752"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设备名称</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数量</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空氧混合器</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医用电热湿化器</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医用空气压缩机</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充气升温机</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5</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UPS电源</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bookmarkStart w:id="0" w:name="OLE_LINK10"/>
            <w:r>
              <w:rPr>
                <w:rFonts w:hint="eastAsia" w:ascii="Times New Roman" w:hAnsi="Times New Roman" w:eastAsia="方正仿宋_GBK" w:cs="Times New Roman"/>
                <w:kern w:val="2"/>
                <w:sz w:val="28"/>
                <w:szCs w:val="28"/>
                <w:highlight w:val="none"/>
                <w:lang w:val="en-US" w:eastAsia="zh-CN" w:bidi="ar-SA"/>
                <w14:ligatures w14:val="standardContextual"/>
              </w:rPr>
              <w:t>台</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6" w:hRule="atLeast"/>
        </w:trPr>
        <w:tc>
          <w:tcPr>
            <w:tcW w:w="1899"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6</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定制支架</w:t>
            </w:r>
          </w:p>
        </w:tc>
        <w:tc>
          <w:tcPr>
            <w:tcW w:w="1555"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6" w:hRule="atLeast"/>
        </w:trPr>
        <w:tc>
          <w:tcPr>
            <w:tcW w:w="1899" w:type="dxa"/>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7</w:t>
            </w:r>
          </w:p>
        </w:tc>
        <w:tc>
          <w:tcPr>
            <w:tcW w:w="3752" w:type="dxa"/>
            <w:vAlign w:val="center"/>
          </w:tcPr>
          <w:p>
            <w:pPr>
              <w:ind w:left="0" w:leftChars="0" w:right="0" w:rightChars="0" w:firstLine="0" w:firstLineChars="0"/>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便捷式手持脉氧仪</w:t>
            </w:r>
          </w:p>
        </w:tc>
        <w:tc>
          <w:tcPr>
            <w:tcW w:w="1555" w:type="dxa"/>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1814" w:type="dxa"/>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台</w:t>
            </w:r>
          </w:p>
        </w:tc>
      </w:tr>
    </w:tbl>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81"/>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numPr>
          <w:ilvl w:val="0"/>
          <w:numId w:val="1"/>
        </w:numPr>
        <w:spacing w:after="0" w:line="570" w:lineRule="atLeas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要求：</w:t>
      </w:r>
    </w:p>
    <w:tbl>
      <w:tblPr>
        <w:tblStyle w:val="4"/>
        <w:tblW w:w="9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6"/>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40" w:hRule="atLeast"/>
          <w:jc w:val="center"/>
        </w:trPr>
        <w:tc>
          <w:tcPr>
            <w:tcW w:w="1166" w:type="dxa"/>
            <w:vAlign w:val="center"/>
          </w:tcPr>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设备功能用途概况</w:t>
            </w:r>
          </w:p>
        </w:tc>
        <w:tc>
          <w:tcPr>
            <w:tcW w:w="8522" w:type="dxa"/>
            <w:vAlign w:val="center"/>
          </w:tcPr>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本院现有一套转运暖箱，无辅助呼吸治疗功能和完善的正压通气功能，现对其升级。满足可在转运中对患儿进行通气治疗，提供空氧混合仪和空气压缩机以精确控制氧浓度和通气压力，同时提供加温湿化的气体，操作简便、消毒简便，便于科室在新生儿转运中可能需要进行的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36" w:hRule="atLeast"/>
          <w:jc w:val="center"/>
        </w:trPr>
        <w:tc>
          <w:tcPr>
            <w:tcW w:w="1166" w:type="dxa"/>
            <w:vAlign w:val="center"/>
          </w:tcPr>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要求</w:t>
            </w:r>
          </w:p>
        </w:tc>
        <w:tc>
          <w:tcPr>
            <w:tcW w:w="8522" w:type="dxa"/>
            <w:vAlign w:val="center"/>
          </w:tcPr>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1.一体化的设计，整体移动方便</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2.▲配空氧混合器、医用空气压缩机、医用电热湿化器、UPS电源，充气升温装置，能与现有新生儿/小儿持续气道正压呼吸支持系统（戴维t1-2000）搭配使用，均集成安装在转运车上</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3.空氧混合器、医用空气压缩机、医用电热湿化器为同一厂家或品牌，方便后期维护。</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4.使用时间(UPS)：&gt;60min</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5.空氧混合器、电热湿化器可以用于经鼻加温湿化高流量吸氧治疗。</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空氧混合器参数：</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6.▲双流量计分别为0-10L/min和0-1.0L/min流量计，与空氧一体化注册，双流量计单输出口，非后期组装，不可拆卸，机械膜片平衡原理，无需电源</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7.氧浓度21%~100%连续可调，直接设置参数，无需计算或者参照对照表</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8.▲空氧混合器过滤器材质：不锈钢，不会氧化产生铜绿</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9.气源故障报警：/供气压力差报警：供气气源压力差&gt;0.1MPa,声觉报警/声觉报警至少60s，噪音至少57dB（A）/正常时，自动停止</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10.重量（不含附件）：</w:t>
            </w:r>
            <w:r>
              <w:rPr>
                <w:rFonts w:hint="eastAsia" w:ascii="宋体" w:hAnsi="宋体" w:eastAsia="宋体" w:cs="宋体"/>
                <w:kern w:val="2"/>
                <w:sz w:val="28"/>
                <w:szCs w:val="28"/>
                <w:highlight w:val="none"/>
                <w:lang w:val="en-US" w:eastAsia="zh-CN" w:bidi="ar-SA"/>
                <w14:ligatures w14:val="standardContextual"/>
              </w:rPr>
              <w:t>≦</w:t>
            </w:r>
            <w:r>
              <w:rPr>
                <w:rFonts w:hint="eastAsia" w:ascii="Times New Roman" w:hAnsi="Times New Roman" w:eastAsia="方正仿宋_GBK" w:cs="Times New Roman"/>
                <w:kern w:val="2"/>
                <w:sz w:val="28"/>
                <w:szCs w:val="28"/>
                <w:highlight w:val="none"/>
                <w:lang w:val="en-US" w:eastAsia="zh-CN" w:bidi="ar-SA"/>
                <w14:ligatures w14:val="standardContextual"/>
              </w:rPr>
              <w:t>1.5kg，使用期限≥7年；</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11.配有医用空气压缩机：≥流量 10L/min，</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12.▲医用空气压缩机重量不超过4公斤，消耗功率不超过30VA，方便转运;</w:t>
            </w: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13.UPS电源：输出容量 1500W;</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14.电热湿化器参数：工作温度： 30℃～37℃，加热板最高温度： 85℃，.湿化罐：≥230ml，最大工作压力：2kpa</w:t>
            </w: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15.电热湿器自动控温，过热（干烧）保护;</w:t>
            </w: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16.▲医用空气压缩机、医用电热湿化器、空氧混合器、充气升温机均具备独立医疗器械注册证（提供注册证）;</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充气升温机装置参数</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17.室温、设置温度和实时温度，三温度同屏显示：低温档32℃，中温档35℃，中温档38℃，高温档41℃。升降温时间＜3min</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18.风速：高速＞35cfm，中速＞30cfm，低速＞25cfm；噪音：高速运行＜49dB（A）</w:t>
            </w: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19.开机系统有安全自检功能，高低温视觉和听觉报警功能，过热报警，高低温报警，自动校准、过热测试、报警测试校准功能</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20.▲充气升温装置产品由充气升温机、体表升温毯组成。其中充气升温机主要由加热装置、温度传感器、电源电路板、控制电路板、风机等组成;</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便捷式手持脉氧仪</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21.彩色液晶显示屏，屏幕大小2.0-2.5英寸</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22.BLT 模拟SpO2规格：测量范围：0~100%，分辨率：1%，精度：70~100%：± 3%</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23.标配血液灌注指数（PI），测量范围：0.1%-20%</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24.数据存储：趋势间隔：20秒～30分钟可选，储容量≥30000组，每个ID存储≥300组，</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25.标配电池规格：类型：锂离子可充电电池，供电时间≥14小时。</w:t>
            </w:r>
          </w:p>
        </w:tc>
      </w:tr>
    </w:tbl>
    <w:p>
      <w:pPr>
        <w:pStyle w:val="2"/>
        <w:rPr>
          <w:rFonts w:hint="eastAsia"/>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pStyle w:val="2"/>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1" w:name="_Toc95295163"/>
      <w:bookmarkStart w:id="2" w:name="_Toc174767233"/>
      <w:bookmarkStart w:id="3" w:name="_Toc23734370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1"/>
      <w:bookmarkEnd w:id="2"/>
      <w:bookmarkEnd w:id="3"/>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bookmarkStart w:id="4" w:name="_GoBack"/>
      <w:bookmarkEnd w:id="4"/>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4B924"/>
    <w:multiLevelType w:val="singleLevel"/>
    <w:tmpl w:val="8CA4B9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1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2025-11-11T08:06:55Z</dcterms:created>
  <dc:creator>OS</dc:creator>
  <cp:lastModifiedBy>們泊冬吴@^_^</cp:lastModifiedBy>
  <dcterms:modified xsi:type="dcterms:W3CDTF">2025-11-11T08:09:05Z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