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default" w:ascii="Times New Roman" w:hAnsi="Times New Roman" w:eastAsia="方正仿宋_GBK" w:cs="Times New Roman"/>
          <w:kern w:val="2"/>
          <w:sz w:val="28"/>
          <w:szCs w:val="28"/>
          <w:highlight w:val="none"/>
          <w:lang w:val="en-US" w:eastAsia="zh-CN" w:bidi="ar-SA"/>
          <w14:ligatures w14:val="standardContextual"/>
        </w:rPr>
        <w:t>二号楼花卉摆放及绿地养护服务</w:t>
      </w:r>
      <w:r>
        <w:rPr>
          <w:rFonts w:hint="eastAsia" w:eastAsia="方正仿宋_GBK" w:cs="Times New Roman"/>
          <w:kern w:val="2"/>
          <w:sz w:val="28"/>
          <w:szCs w:val="28"/>
          <w:highlight w:val="none"/>
          <w:lang w:val="en-US" w:eastAsia="zh-CN" w:bidi="ar-SA"/>
          <w14:ligatures w14:val="standardContextual"/>
        </w:rPr>
        <w:t>采购</w:t>
      </w:r>
      <w:r>
        <w:rPr>
          <w:rFonts w:hint="default" w:ascii="Times New Roman" w:hAnsi="Times New Roman" w:eastAsia="方正仿宋_GBK" w:cs="Times New Roman"/>
          <w:kern w:val="2"/>
          <w:sz w:val="28"/>
          <w:szCs w:val="28"/>
          <w:highlight w:val="none"/>
          <w:lang w:val="en-US" w:eastAsia="zh-CN" w:bidi="ar-SA"/>
          <w14:ligatures w14:val="standardContextual"/>
        </w:rPr>
        <w:t>项目。</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eastAsia" w:eastAsia="方正仿宋_GBK" w:cs="Times New Roman"/>
          <w:kern w:val="2"/>
          <w:sz w:val="28"/>
          <w:szCs w:val="28"/>
          <w:highlight w:val="none"/>
          <w:lang w:val="en-US" w:eastAsia="zh-CN" w:bidi="ar-SA"/>
          <w14:ligatures w14:val="standardContextual"/>
        </w:rPr>
        <w:t>3.7</w:t>
      </w:r>
      <w:r>
        <w:rPr>
          <w:rFonts w:hint="default" w:ascii="Times New Roman" w:hAnsi="Times New Roman" w:eastAsia="方正仿宋_GBK" w:cs="Times New Roman"/>
          <w:kern w:val="2"/>
          <w:sz w:val="28"/>
          <w:szCs w:val="28"/>
          <w:highlight w:val="none"/>
          <w:lang w:val="en-US" w:eastAsia="zh-CN" w:bidi="ar-SA"/>
          <w14:ligatures w14:val="standardContextual"/>
        </w:rPr>
        <w:t>万元</w:t>
      </w:r>
      <w:r>
        <w:rPr>
          <w:rFonts w:hint="eastAsia" w:eastAsia="方正仿宋_GBK" w:cs="Times New Roman"/>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仿宋_GBK" w:cs="Times New Roman"/>
          <w:kern w:val="2"/>
          <w:sz w:val="28"/>
          <w:szCs w:val="28"/>
          <w:highlight w:val="none"/>
          <w:lang w:val="en-US" w:eastAsia="zh-CN" w:bidi="ar-SA"/>
          <w14:ligatures w14:val="standardContextual"/>
        </w:rPr>
        <w:t>（一）</w:t>
      </w:r>
      <w:r>
        <w:rPr>
          <w:rFonts w:hint="default" w:ascii="Times New Roman" w:hAnsi="Times New Roman" w:eastAsia="方正仿宋_GBK" w:cs="Times New Roman"/>
          <w:kern w:val="2"/>
          <w:sz w:val="28"/>
          <w:szCs w:val="28"/>
          <w:highlight w:val="none"/>
          <w:lang w:val="en-US" w:eastAsia="zh-CN" w:bidi="ar-SA"/>
          <w14:ligatures w14:val="standardContextual"/>
        </w:rPr>
        <w:t>需求数量</w:t>
      </w:r>
    </w:p>
    <w:tbl>
      <w:tblPr>
        <w:tblStyle w:val="5"/>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6"/>
        <w:gridCol w:w="1705"/>
        <w:gridCol w:w="1721"/>
        <w:gridCol w:w="1164"/>
        <w:gridCol w:w="1131"/>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楼层</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位置</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品种</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规格</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数量</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花的高度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1楼</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一楼大厅</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幸福树</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3</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1.8-2.0m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过道</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绿萝</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2</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1.5-1.8m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后门</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金心也门铁</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2</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1.2-1.4m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红掌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高档</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6</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0.4-0.6m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绿萝</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2</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1.5-1.8m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免疫科</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袖珍椰子</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2</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0.8-1.0m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绿萝</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1.5-1.8m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大门口</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榕树</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盆景</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2</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2.2-2.8m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大厅</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特殊盆具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盆具</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6</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订做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2楼</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员工电梯口</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也门铁</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1.2-1.4m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客梯</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金心也门铁</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1.2-1.4m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红掌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高档</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0.4-0.6m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过道</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螺纹铁</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3</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1.4-1.6m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大厅</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绿萝</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3</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1.5-1.8m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厕所旁</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绿萝</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1.5-1.8m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螺纹铁</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1.4-1.6m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二楼楼梯间</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龙血树</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1.2-1.4m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红掌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高档</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3</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0.4-0.6m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3楼</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员工电梯口</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绿萝</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1.5-1.8m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客梯口</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金心也门铁</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1.2-1.4m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红掌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高档</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3</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0.4-0.6m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过道</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绿萝</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2</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1.5-1.8m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后面过道</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螺纹铁</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1.4-1.6m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VIP</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螺纹铁</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1.4-1.6m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大厅</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天堂鸟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1.4-1.8m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前面大厅过道</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也门铁</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1.2-1.4m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螺纹铁</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1.4-1.6m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5楼</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5楼顶</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人面竹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36</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1.8-2.0m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512会议室</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夏威夷椰子</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1.4-1.6m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大厅</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幸福树</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1.8-2.0m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绿萝</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1.5-1.8m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电梯口</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金心也门铁</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1.2-1.4m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红掌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高档</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3</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0.4-0.6m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后面大厅</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红掌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高档</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3</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0.4-0.6m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白掌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小盆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0.4-0.6m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万年青</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0.8-1.0m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会议室</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天堂鸟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2</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1.4-1.8m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早教</w:t>
            </w:r>
            <w:r>
              <w:rPr>
                <w:rFonts w:hint="eastAsia" w:ascii="仿宋" w:hAnsi="仿宋" w:eastAsia="仿宋" w:cs="仿宋"/>
                <w:i w:val="0"/>
                <w:color w:val="000000"/>
                <w:sz w:val="24"/>
                <w:szCs w:val="24"/>
                <w:highlight w:val="none"/>
                <w:u w:val="none"/>
                <w:lang w:val="en-US" w:eastAsia="zh-CN"/>
              </w:rPr>
              <w:br w:type="textWrapping"/>
            </w:r>
            <w:r>
              <w:rPr>
                <w:rFonts w:hint="eastAsia" w:ascii="仿宋" w:hAnsi="仿宋" w:eastAsia="仿宋" w:cs="仿宋"/>
                <w:i w:val="0"/>
                <w:color w:val="000000"/>
                <w:sz w:val="24"/>
                <w:szCs w:val="24"/>
                <w:highlight w:val="none"/>
                <w:u w:val="none"/>
                <w:lang w:val="en-US" w:eastAsia="zh-CN"/>
              </w:rPr>
              <w:t>中心</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室内</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幸福树</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1.8-2.0m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绿萝</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1.5-1.8m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阳台</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鸭脚木</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大盆</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2</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0.8-1.0m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2号</w:t>
            </w:r>
            <w:r>
              <w:rPr>
                <w:rFonts w:hint="eastAsia" w:ascii="仿宋" w:hAnsi="仿宋" w:eastAsia="仿宋" w:cs="仿宋"/>
                <w:i w:val="0"/>
                <w:color w:val="000000"/>
                <w:sz w:val="24"/>
                <w:szCs w:val="24"/>
                <w:highlight w:val="none"/>
                <w:u w:val="none"/>
                <w:lang w:val="en-US" w:eastAsia="zh-CN"/>
              </w:rPr>
              <w:br w:type="textWrapping"/>
            </w:r>
            <w:r>
              <w:rPr>
                <w:rFonts w:hint="eastAsia" w:ascii="仿宋" w:hAnsi="仿宋" w:eastAsia="仿宋" w:cs="仿宋"/>
                <w:i w:val="0"/>
                <w:color w:val="000000"/>
                <w:sz w:val="24"/>
                <w:szCs w:val="24"/>
                <w:highlight w:val="none"/>
                <w:u w:val="none"/>
                <w:lang w:val="en-US" w:eastAsia="zh-CN"/>
              </w:rPr>
              <w:t>楼1楼周围（面积约325平方米）</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绿化养护</w:t>
            </w:r>
          </w:p>
        </w:tc>
        <w:tc>
          <w:tcPr>
            <w:tcW w:w="567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rPr>
              <w:t>绿化养护（每周一次）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850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屋顶（面积约371平方米）绿化养护：根据采购人要求半年一次，一年两次</w:t>
            </w:r>
          </w:p>
        </w:tc>
      </w:tr>
    </w:tbl>
    <w:p>
      <w:pPr>
        <w:rPr>
          <w:rFonts w:hint="default"/>
          <w:highlight w:val="none"/>
          <w:lang w:val="en-US" w:eastAsia="zh-CN"/>
        </w:rPr>
      </w:pPr>
    </w:p>
    <w:p>
      <w:pPr>
        <w:widowControl/>
        <w:adjustRightInd w:val="0"/>
        <w:snapToGrid w:val="0"/>
        <w:spacing w:after="0" w:line="360" w:lineRule="auto"/>
        <w:ind w:firstLine="0" w:firstLineChars="0"/>
        <w:jc w:val="left"/>
        <w:rPr>
          <w:rFonts w:hint="eastAsia" w:ascii="Times New Roman" w:hAnsi="Times New Roman" w:eastAsia="仿宋"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p>
    <w:tbl>
      <w:tblPr>
        <w:tblStyle w:val="5"/>
        <w:tblW w:w="835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80"/>
        <w:gridCol w:w="1887"/>
        <w:gridCol w:w="58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80" w:type="dxa"/>
            <w:vAlign w:val="center"/>
          </w:tcPr>
          <w:p>
            <w:pPr>
              <w:pStyle w:val="8"/>
              <w:spacing w:line="300" w:lineRule="auto"/>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序号</w:t>
            </w:r>
          </w:p>
        </w:tc>
        <w:tc>
          <w:tcPr>
            <w:tcW w:w="1887" w:type="dxa"/>
            <w:vAlign w:val="center"/>
          </w:tcPr>
          <w:p>
            <w:pPr>
              <w:pStyle w:val="8"/>
              <w:spacing w:line="300" w:lineRule="auto"/>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内容</w:t>
            </w:r>
          </w:p>
        </w:tc>
        <w:tc>
          <w:tcPr>
            <w:tcW w:w="5890" w:type="dxa"/>
            <w:vAlign w:val="center"/>
          </w:tcPr>
          <w:p>
            <w:pPr>
              <w:pStyle w:val="8"/>
              <w:spacing w:line="300" w:lineRule="auto"/>
              <w:ind w:left="210" w:leftChars="100"/>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59" w:hRule="atLeast"/>
          <w:jc w:val="center"/>
        </w:trPr>
        <w:tc>
          <w:tcPr>
            <w:tcW w:w="580" w:type="dxa"/>
            <w:vAlign w:val="center"/>
          </w:tcPr>
          <w:p>
            <w:pPr>
              <w:pStyle w:val="8"/>
              <w:spacing w:line="300" w:lineRule="auto"/>
              <w:jc w:val="center"/>
              <w:rPr>
                <w:rFonts w:ascii="Times New Roman" w:hAnsi="Times New Roman" w:eastAsia="仿宋" w:cs="Times New Roman"/>
                <w:b w:val="0"/>
                <w:bCs w:val="0"/>
                <w:sz w:val="22"/>
                <w:szCs w:val="22"/>
                <w:highlight w:val="none"/>
                <w:lang w:val="zh-CN"/>
              </w:rPr>
            </w:pPr>
            <w:r>
              <w:rPr>
                <w:rFonts w:ascii="Times New Roman" w:hAnsi="Times New Roman" w:eastAsia="仿宋" w:cs="Times New Roman"/>
                <w:b w:val="0"/>
                <w:bCs w:val="0"/>
                <w:sz w:val="22"/>
                <w:szCs w:val="22"/>
                <w:highlight w:val="none"/>
                <w:lang w:val="zh-CN"/>
              </w:rPr>
              <w:t>1</w:t>
            </w:r>
          </w:p>
        </w:tc>
        <w:tc>
          <w:tcPr>
            <w:tcW w:w="1887" w:type="dxa"/>
            <w:vAlign w:val="center"/>
          </w:tcPr>
          <w:p>
            <w:pPr>
              <w:pStyle w:val="8"/>
              <w:spacing w:line="300" w:lineRule="auto"/>
              <w:jc w:val="center"/>
              <w:rPr>
                <w:rFonts w:hint="eastAsia"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服务期</w:t>
            </w:r>
          </w:p>
        </w:tc>
        <w:tc>
          <w:tcPr>
            <w:tcW w:w="5890" w:type="dxa"/>
            <w:vAlign w:val="center"/>
          </w:tcPr>
          <w:p>
            <w:pPr>
              <w:pStyle w:val="8"/>
              <w:spacing w:line="300" w:lineRule="auto"/>
              <w:ind w:firstLine="220" w:firstLineChars="100"/>
              <w:jc w:val="both"/>
              <w:rPr>
                <w:rFonts w:hint="default"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75" w:hRule="atLeast"/>
          <w:jc w:val="center"/>
        </w:trPr>
        <w:tc>
          <w:tcPr>
            <w:tcW w:w="580" w:type="dxa"/>
            <w:vAlign w:val="center"/>
          </w:tcPr>
          <w:p>
            <w:pPr>
              <w:pStyle w:val="8"/>
              <w:spacing w:line="300" w:lineRule="auto"/>
              <w:jc w:val="center"/>
              <w:rPr>
                <w:rFonts w:ascii="Times New Roman" w:hAnsi="Times New Roman" w:eastAsia="仿宋" w:cs="Times New Roman"/>
                <w:b w:val="0"/>
                <w:bCs w:val="0"/>
                <w:sz w:val="22"/>
                <w:szCs w:val="22"/>
                <w:highlight w:val="none"/>
                <w:lang w:val="zh-CN"/>
              </w:rPr>
            </w:pPr>
            <w:r>
              <w:rPr>
                <w:rFonts w:ascii="Times New Roman" w:hAnsi="Times New Roman" w:eastAsia="仿宋" w:cs="Times New Roman"/>
                <w:b w:val="0"/>
                <w:bCs w:val="0"/>
                <w:sz w:val="22"/>
                <w:szCs w:val="22"/>
                <w:highlight w:val="none"/>
                <w:lang w:val="zh-CN"/>
              </w:rPr>
              <w:t>2</w:t>
            </w:r>
          </w:p>
        </w:tc>
        <w:tc>
          <w:tcPr>
            <w:tcW w:w="1887" w:type="dxa"/>
            <w:vAlign w:val="center"/>
          </w:tcPr>
          <w:p>
            <w:pPr>
              <w:pStyle w:val="8"/>
              <w:spacing w:line="300" w:lineRule="auto"/>
              <w:jc w:val="center"/>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服务</w:t>
            </w:r>
            <w:r>
              <w:rPr>
                <w:rFonts w:ascii="Times New Roman" w:hAnsi="Times New Roman" w:eastAsia="仿宋" w:cs="Times New Roman"/>
                <w:b w:val="0"/>
                <w:bCs w:val="0"/>
                <w:sz w:val="22"/>
                <w:szCs w:val="22"/>
                <w:highlight w:val="none"/>
                <w:lang w:val="zh-CN"/>
              </w:rPr>
              <w:t>地点</w:t>
            </w:r>
          </w:p>
        </w:tc>
        <w:tc>
          <w:tcPr>
            <w:tcW w:w="5890" w:type="dxa"/>
            <w:vAlign w:val="center"/>
          </w:tcPr>
          <w:p>
            <w:pPr>
              <w:pStyle w:val="8"/>
              <w:spacing w:line="300" w:lineRule="auto"/>
              <w:ind w:left="210" w:leftChars="10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885" w:hRule="atLeast"/>
          <w:jc w:val="center"/>
        </w:trPr>
        <w:tc>
          <w:tcPr>
            <w:tcW w:w="580" w:type="dxa"/>
            <w:vAlign w:val="center"/>
          </w:tcPr>
          <w:p>
            <w:pPr>
              <w:pStyle w:val="8"/>
              <w:spacing w:line="300" w:lineRule="auto"/>
              <w:jc w:val="center"/>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3</w:t>
            </w:r>
          </w:p>
        </w:tc>
        <w:tc>
          <w:tcPr>
            <w:tcW w:w="1887" w:type="dxa"/>
            <w:vAlign w:val="center"/>
          </w:tcPr>
          <w:p>
            <w:pPr>
              <w:pStyle w:val="8"/>
              <w:spacing w:line="300" w:lineRule="auto"/>
              <w:jc w:val="center"/>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报价</w:t>
            </w:r>
          </w:p>
        </w:tc>
        <w:tc>
          <w:tcPr>
            <w:tcW w:w="5890" w:type="dxa"/>
            <w:vAlign w:val="center"/>
          </w:tcPr>
          <w:p>
            <w:pPr>
              <w:pStyle w:val="8"/>
              <w:spacing w:line="300" w:lineRule="auto"/>
              <w:ind w:left="210" w:leftChars="10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报价应是完成本项目所有采购内容和比选文件规定的其它全部费用，最终用户验收合格后的总价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73" w:hRule="atLeast"/>
          <w:jc w:val="center"/>
        </w:trPr>
        <w:tc>
          <w:tcPr>
            <w:tcW w:w="580" w:type="dxa"/>
            <w:vAlign w:val="center"/>
          </w:tcPr>
          <w:p>
            <w:pPr>
              <w:pStyle w:val="8"/>
              <w:spacing w:line="300" w:lineRule="auto"/>
              <w:jc w:val="center"/>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4</w:t>
            </w:r>
          </w:p>
        </w:tc>
        <w:tc>
          <w:tcPr>
            <w:tcW w:w="1887" w:type="dxa"/>
            <w:vAlign w:val="center"/>
          </w:tcPr>
          <w:p>
            <w:pPr>
              <w:pStyle w:val="8"/>
              <w:spacing w:line="300" w:lineRule="auto"/>
              <w:jc w:val="center"/>
              <w:rPr>
                <w:rFonts w:ascii="Times New Roman" w:hAnsi="Times New Roman" w:eastAsia="仿宋" w:cs="Times New Roman"/>
                <w:b w:val="0"/>
                <w:bCs w:val="0"/>
                <w:sz w:val="22"/>
                <w:szCs w:val="22"/>
                <w:highlight w:val="none"/>
                <w:lang w:val="zh-CN"/>
              </w:rPr>
            </w:pPr>
            <w:r>
              <w:rPr>
                <w:rFonts w:ascii="Times New Roman" w:hAnsi="Times New Roman" w:eastAsia="仿宋" w:cs="Times New Roman"/>
                <w:b w:val="0"/>
                <w:bCs w:val="0"/>
                <w:sz w:val="22"/>
                <w:szCs w:val="22"/>
                <w:highlight w:val="none"/>
                <w:lang w:val="zh-CN"/>
              </w:rPr>
              <w:t>合同价款支付</w:t>
            </w:r>
          </w:p>
        </w:tc>
        <w:tc>
          <w:tcPr>
            <w:tcW w:w="5890" w:type="dxa"/>
            <w:vAlign w:val="center"/>
          </w:tcPr>
          <w:p>
            <w:pPr>
              <w:pStyle w:val="8"/>
              <w:spacing w:line="300" w:lineRule="auto"/>
              <w:ind w:left="210" w:leftChars="100"/>
              <w:jc w:val="left"/>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合同签订后</w:t>
            </w:r>
            <w:r>
              <w:rPr>
                <w:rFonts w:hint="eastAsia" w:ascii="Times New Roman" w:hAnsi="Times New Roman" w:eastAsia="仿宋" w:cs="Times New Roman"/>
                <w:color w:val="auto"/>
                <w:sz w:val="22"/>
                <w:szCs w:val="22"/>
                <w:highlight w:val="none"/>
                <w:lang w:val="zh-CN"/>
              </w:rPr>
              <w:t>，</w:t>
            </w:r>
            <w:r>
              <w:rPr>
                <w:rFonts w:hint="eastAsia" w:ascii="Times New Roman" w:hAnsi="Times New Roman" w:eastAsia="仿宋" w:cs="Times New Roman"/>
                <w:color w:val="auto"/>
                <w:sz w:val="22"/>
                <w:szCs w:val="22"/>
                <w:highlight w:val="none"/>
                <w:lang w:val="en-US" w:eastAsia="zh-CN"/>
              </w:rPr>
              <w:t>采购人根据成交单价和服务考核标准（见附件）每半年据实结算一次</w:t>
            </w:r>
            <w:r>
              <w:rPr>
                <w:rFonts w:hint="eastAsia" w:ascii="Times New Roman" w:hAnsi="Times New Roman" w:eastAsia="仿宋" w:cs="Times New Roman"/>
                <w:color w:val="auto"/>
                <w:sz w:val="22"/>
                <w:szCs w:val="22"/>
                <w:highlight w:val="none"/>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80" w:type="dxa"/>
            <w:vAlign w:val="center"/>
          </w:tcPr>
          <w:p>
            <w:pPr>
              <w:pStyle w:val="8"/>
              <w:spacing w:line="300" w:lineRule="auto"/>
              <w:jc w:val="center"/>
              <w:rPr>
                <w:rFonts w:hint="default" w:ascii="Times New Roman" w:hAnsi="Times New Roman" w:eastAsia="仿宋" w:cs="Times New Roman"/>
                <w:b w:val="0"/>
                <w:bCs w:val="0"/>
                <w:sz w:val="22"/>
                <w:szCs w:val="22"/>
                <w:highlight w:val="none"/>
                <w:lang w:val="en-US" w:eastAsia="zh-CN"/>
              </w:rPr>
            </w:pPr>
            <w:bookmarkStart w:id="0" w:name="_Toc28829"/>
            <w:bookmarkStart w:id="1" w:name="_Toc32743"/>
            <w:r>
              <w:rPr>
                <w:rFonts w:hint="eastAsia" w:ascii="Times New Roman" w:hAnsi="Times New Roman" w:eastAsia="仿宋" w:cs="Times New Roman"/>
                <w:b w:val="0"/>
                <w:bCs w:val="0"/>
                <w:sz w:val="22"/>
                <w:szCs w:val="22"/>
                <w:highlight w:val="none"/>
                <w:lang w:val="en-US" w:eastAsia="zh-CN"/>
              </w:rPr>
              <w:t>5</w:t>
            </w:r>
          </w:p>
        </w:tc>
        <w:tc>
          <w:tcPr>
            <w:tcW w:w="1887" w:type="dxa"/>
            <w:vAlign w:val="center"/>
          </w:tcPr>
          <w:p>
            <w:pPr>
              <w:pStyle w:val="8"/>
              <w:spacing w:line="300" w:lineRule="auto"/>
              <w:jc w:val="center"/>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履约验收</w:t>
            </w:r>
          </w:p>
        </w:tc>
        <w:tc>
          <w:tcPr>
            <w:tcW w:w="5890" w:type="dxa"/>
            <w:vAlign w:val="center"/>
          </w:tcPr>
          <w:p>
            <w:pPr>
              <w:pStyle w:val="8"/>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en-US" w:eastAsia="zh-CN"/>
              </w:rPr>
              <w:t>参照《财政部关于进一步加强政府采购需求和履约验收管理的指导意见》（财库〔2016〕205号）、《政府采购需求管理办法》（财库〔2021〕22号）的要求进行验收</w:t>
            </w:r>
          </w:p>
        </w:tc>
      </w:tr>
      <w:bookmarkEnd w:id="0"/>
      <w:bookmarkEnd w:id="1"/>
    </w:tbl>
    <w:p>
      <w:pPr>
        <w:widowControl/>
        <w:adjustRightInd w:val="0"/>
        <w:snapToGrid w:val="0"/>
        <w:spacing w:after="0" w:line="360" w:lineRule="auto"/>
        <w:ind w:firstLine="0" w:firstLineChars="0"/>
        <w:jc w:val="left"/>
        <w:rPr>
          <w:rFonts w:hint="eastAsia" w:ascii="Times New Roman" w:hAnsi="Times New Roman" w:eastAsia="仿宋" w:cs="Times New Roman"/>
          <w:kern w:val="2"/>
          <w:sz w:val="28"/>
          <w:szCs w:val="28"/>
          <w:highlight w:val="none"/>
          <w:lang w:val="en-US" w:eastAsia="zh-CN" w:bidi="ar-SA"/>
          <w14:ligatures w14:val="standardContextual"/>
        </w:rPr>
      </w:pPr>
    </w:p>
    <w:p>
      <w:pPr>
        <w:spacing w:after="0" w:line="570" w:lineRule="atLeas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（三）服务要求</w:t>
      </w:r>
    </w:p>
    <w:p>
      <w:pPr>
        <w:numPr>
          <w:ilvl w:val="0"/>
          <w:numId w:val="1"/>
        </w:numPr>
        <w:spacing w:line="360" w:lineRule="auto"/>
        <w:ind w:left="425" w:leftChars="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为二号楼提供绿植花卉租摆零星供应及绿化养护，供应商需具备各类场地、活动摆放绿植花卉的设计能力及绿化养护能力。二号楼屋面绿化面积371平方米；二号楼周围绿化面积325.64平方米。供应商须拟派1名项目负责人与采购人对接，负责供货任务的接收、货物的调配、货品的检验等工作。</w:t>
      </w:r>
    </w:p>
    <w:p>
      <w:pPr>
        <w:numPr>
          <w:ilvl w:val="0"/>
          <w:numId w:val="1"/>
        </w:numPr>
        <w:spacing w:line="360" w:lineRule="auto"/>
        <w:ind w:left="425" w:leftChars="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在供应商所提供的植物到场后，供应商须提供植物清单，明确品名数量等重要信息。</w:t>
      </w:r>
    </w:p>
    <w:p>
      <w:pPr>
        <w:numPr>
          <w:ilvl w:val="0"/>
          <w:numId w:val="1"/>
        </w:numPr>
        <w:spacing w:line="360" w:lineRule="auto"/>
        <w:ind w:left="425" w:leftChars="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配送摆放的绿植</w:t>
      </w:r>
      <w:r>
        <w:rPr>
          <w:rFonts w:hint="eastAsia" w:ascii="仿宋" w:hAnsi="仿宋" w:eastAsia="仿宋" w:cs="仿宋"/>
          <w:sz w:val="24"/>
          <w:szCs w:val="24"/>
          <w:highlight w:val="none"/>
        </w:rPr>
        <w:t>品种纯正，无杂草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无病害，摆放方式、</w:t>
      </w:r>
      <w:r>
        <w:rPr>
          <w:rFonts w:hint="eastAsia" w:ascii="仿宋" w:hAnsi="仿宋" w:eastAsia="仿宋" w:cs="仿宋"/>
          <w:sz w:val="24"/>
          <w:szCs w:val="24"/>
          <w:highlight w:val="none"/>
        </w:rPr>
        <w:t>品种</w:t>
      </w:r>
      <w:r>
        <w:rPr>
          <w:rFonts w:hint="eastAsia" w:ascii="仿宋" w:hAnsi="仿宋" w:eastAsia="仿宋" w:cs="仿宋"/>
          <w:sz w:val="24"/>
          <w:szCs w:val="24"/>
          <w:highlight w:val="none"/>
          <w:lang w:val="en-US" w:eastAsia="zh-CN"/>
        </w:rPr>
        <w:t>搭配</w:t>
      </w:r>
      <w:r>
        <w:rPr>
          <w:rFonts w:hint="eastAsia" w:ascii="仿宋" w:hAnsi="仿宋" w:eastAsia="仿宋" w:cs="仿宋"/>
          <w:sz w:val="24"/>
          <w:szCs w:val="24"/>
          <w:highlight w:val="none"/>
        </w:rPr>
        <w:t>应多样化，布局合</w:t>
      </w:r>
      <w:r>
        <w:rPr>
          <w:rFonts w:hint="eastAsia" w:ascii="仿宋" w:hAnsi="仿宋" w:eastAsia="仿宋" w:cs="仿宋"/>
          <w:color w:val="000000"/>
          <w:sz w:val="24"/>
          <w:szCs w:val="24"/>
          <w:highlight w:val="none"/>
        </w:rPr>
        <w:t>理，使其</w:t>
      </w:r>
      <w:r>
        <w:rPr>
          <w:rFonts w:hint="eastAsia" w:ascii="仿宋" w:hAnsi="仿宋" w:eastAsia="仿宋" w:cs="仿宋"/>
          <w:color w:val="000000"/>
          <w:kern w:val="0"/>
          <w:sz w:val="24"/>
          <w:szCs w:val="24"/>
          <w:highlight w:val="none"/>
        </w:rPr>
        <w:t>具</w:t>
      </w:r>
      <w:r>
        <w:rPr>
          <w:rFonts w:hint="eastAsia" w:ascii="仿宋" w:hAnsi="仿宋" w:eastAsia="仿宋" w:cs="仿宋"/>
          <w:color w:val="000000"/>
          <w:sz w:val="24"/>
          <w:szCs w:val="24"/>
          <w:highlight w:val="none"/>
        </w:rPr>
        <w:t>有整体</w:t>
      </w:r>
      <w:r>
        <w:rPr>
          <w:rFonts w:hint="eastAsia" w:ascii="仿宋" w:hAnsi="仿宋" w:eastAsia="仿宋" w:cs="仿宋"/>
          <w:sz w:val="24"/>
          <w:szCs w:val="24"/>
          <w:highlight w:val="none"/>
        </w:rPr>
        <w:t>观赏效果</w:t>
      </w:r>
      <w:r>
        <w:rPr>
          <w:rFonts w:hint="eastAsia" w:ascii="仿宋" w:hAnsi="仿宋" w:eastAsia="仿宋" w:cs="仿宋"/>
          <w:sz w:val="24"/>
          <w:szCs w:val="24"/>
          <w:highlight w:val="none"/>
          <w:lang w:val="en-US" w:eastAsia="zh-CN"/>
        </w:rPr>
        <w:t>。</w:t>
      </w:r>
    </w:p>
    <w:p>
      <w:pPr>
        <w:numPr>
          <w:ilvl w:val="0"/>
          <w:numId w:val="1"/>
        </w:numPr>
        <w:spacing w:line="360" w:lineRule="auto"/>
        <w:ind w:left="425" w:leftChars="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植物验收合格前，在运输、搬运、养护、存储过程中支出的所有费用以及可能发生毁损或灭失等一切风险均由供应商承担。</w:t>
      </w:r>
    </w:p>
    <w:p>
      <w:pPr>
        <w:numPr>
          <w:ilvl w:val="0"/>
          <w:numId w:val="1"/>
        </w:numPr>
        <w:spacing w:line="360" w:lineRule="auto"/>
        <w:ind w:left="425" w:leftChars="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每周</w:t>
      </w:r>
      <w:r>
        <w:rPr>
          <w:rFonts w:hint="eastAsia" w:ascii="仿宋" w:hAnsi="仿宋" w:eastAsia="仿宋" w:cs="仿宋"/>
          <w:b/>
          <w:bCs/>
          <w:sz w:val="24"/>
          <w:szCs w:val="24"/>
          <w:highlight w:val="none"/>
        </w:rPr>
        <w:t>一</w:t>
      </w:r>
      <w:r>
        <w:rPr>
          <w:rFonts w:hint="eastAsia" w:ascii="仿宋" w:hAnsi="仿宋" w:eastAsia="仿宋" w:cs="仿宋"/>
          <w:sz w:val="24"/>
          <w:szCs w:val="24"/>
          <w:highlight w:val="none"/>
        </w:rPr>
        <w:t>次对所提供的的植物进行管理养护(浇水、修剪、施肥、除虫等），做到无病虫害、叶面无尘土、无坏叶，并根据不同季节和植物生长情况及时更换，保持所供植物的美观。</w:t>
      </w:r>
    </w:p>
    <w:p>
      <w:pPr>
        <w:numPr>
          <w:ilvl w:val="0"/>
          <w:numId w:val="1"/>
        </w:numPr>
        <w:spacing w:line="360" w:lineRule="auto"/>
        <w:ind w:left="425" w:leftChars="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及时更换失去观赏价值的植物，对植物种类在同档次的条件下进行适当调整，以使摆放效果富于变化。</w:t>
      </w:r>
    </w:p>
    <w:p>
      <w:pPr>
        <w:numPr>
          <w:ilvl w:val="0"/>
          <w:numId w:val="1"/>
        </w:numPr>
        <w:spacing w:line="360" w:lineRule="auto"/>
        <w:ind w:left="425" w:leftChars="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供应商负责将植物送至采购人指定位置</w:t>
      </w:r>
      <w:r>
        <w:rPr>
          <w:rFonts w:hint="eastAsia" w:ascii="仿宋" w:hAnsi="仿宋" w:eastAsia="仿宋" w:cs="仿宋"/>
          <w:sz w:val="24"/>
          <w:szCs w:val="24"/>
          <w:highlight w:val="none"/>
          <w:lang w:val="en-US" w:eastAsia="zh-CN"/>
        </w:rPr>
        <w:t>进行摆放，实施过程不损坏原有设施、陈设，不遗留实施过程产生的垃圾，项目实施完成后恢复摆放环境的清洁卫生，</w:t>
      </w:r>
      <w:r>
        <w:rPr>
          <w:rFonts w:hint="eastAsia" w:ascii="仿宋" w:hAnsi="仿宋" w:eastAsia="仿宋" w:cs="仿宋"/>
          <w:sz w:val="24"/>
          <w:szCs w:val="24"/>
          <w:highlight w:val="none"/>
        </w:rPr>
        <w:t>如因</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原因造成</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损失，由</w:t>
      </w:r>
      <w:r>
        <w:rPr>
          <w:rFonts w:hint="eastAsia" w:ascii="仿宋" w:hAnsi="仿宋" w:eastAsia="仿宋" w:cs="仿宋"/>
          <w:sz w:val="24"/>
          <w:szCs w:val="24"/>
          <w:highlight w:val="none"/>
          <w:lang w:val="en-US" w:eastAsia="zh-CN"/>
        </w:rPr>
        <w:t>供应商承担全部责任。</w:t>
      </w:r>
    </w:p>
    <w:p>
      <w:pPr>
        <w:numPr>
          <w:ilvl w:val="0"/>
          <w:numId w:val="1"/>
        </w:numPr>
        <w:spacing w:line="360" w:lineRule="auto"/>
        <w:ind w:left="425" w:leftChars="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乙方所提供的植物必须保证质量，对枯萎以及死亡的植物，在接到</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通知后3个工作日内完成更换。</w:t>
      </w:r>
    </w:p>
    <w:p>
      <w:pPr>
        <w:numPr>
          <w:ilvl w:val="0"/>
          <w:numId w:val="1"/>
        </w:numPr>
        <w:spacing w:line="360" w:lineRule="auto"/>
        <w:ind w:left="425" w:leftChars="0" w:hanging="425" w:firstLineChars="0"/>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对养护区域的绿植、绿地使用专业工具（包括但不限于：</w:t>
      </w:r>
      <w:r>
        <w:rPr>
          <w:rFonts w:hint="default" w:ascii="仿宋" w:hAnsi="仿宋" w:eastAsia="仿宋" w:cs="仿宋"/>
          <w:i w:val="0"/>
          <w:iCs w:val="0"/>
          <w:color w:val="000000"/>
          <w:kern w:val="0"/>
          <w:sz w:val="24"/>
          <w:szCs w:val="24"/>
          <w:highlight w:val="none"/>
          <w:u w:val="none"/>
          <w:lang w:val="en-US" w:eastAsia="zh-CN" w:bidi="ar"/>
        </w:rPr>
        <w:t>剪草机、绿篱机、高枝剪、机动喷雾器</w:t>
      </w:r>
      <w:r>
        <w:rPr>
          <w:rFonts w:hint="eastAsia" w:ascii="仿宋" w:hAnsi="仿宋" w:eastAsia="仿宋" w:cs="仿宋"/>
          <w:i w:val="0"/>
          <w:iCs w:val="0"/>
          <w:color w:val="000000"/>
          <w:kern w:val="0"/>
          <w:sz w:val="24"/>
          <w:szCs w:val="24"/>
          <w:highlight w:val="none"/>
          <w:u w:val="none"/>
          <w:lang w:val="en-US" w:eastAsia="zh-CN" w:bidi="ar"/>
        </w:rPr>
        <w:t>等）进行虫害管理、修剪锄草、浇水、每周养护1次。</w:t>
      </w:r>
    </w:p>
    <w:p>
      <w:pPr>
        <w:numPr>
          <w:ilvl w:val="0"/>
          <w:numId w:val="1"/>
        </w:numPr>
        <w:spacing w:line="360" w:lineRule="auto"/>
        <w:ind w:left="425" w:leftChars="0" w:hanging="425" w:firstLineChars="0"/>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花台内的花卉植物枯萎进行更换，确保绿地植物无枯枝、烂叶，花台植物整齐、整洁。</w:t>
      </w:r>
    </w:p>
    <w:p>
      <w:pPr>
        <w:numPr>
          <w:ilvl w:val="0"/>
          <w:numId w:val="1"/>
        </w:numPr>
        <w:spacing w:line="360" w:lineRule="auto"/>
        <w:ind w:left="425" w:leftChars="0" w:hanging="425" w:firstLineChars="0"/>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如需进行药物管理，采用无污染、低毒性农药，把农药污染控制在最低限度，正确掌握各种农药的使用方法，严格按操作规程合理施用，注意做到防治及时、对症下药，计量准确，方法正确，喷洒均匀，不造成药害，不发生安全事故。</w:t>
      </w:r>
    </w:p>
    <w:p>
      <w:pPr>
        <w:numPr>
          <w:ilvl w:val="0"/>
          <w:numId w:val="1"/>
        </w:numPr>
        <w:spacing w:line="360" w:lineRule="auto"/>
        <w:ind w:left="425" w:leftChars="0" w:hanging="425" w:firstLineChars="0"/>
        <w:rPr>
          <w:rFonts w:hint="default" w:ascii="Times New Roman" w:hAnsi="Times New Roman" w:cs="Times New Roman"/>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修剪的杂草、树枝等当日养护工作结束须带离医院，不能堆放在医院。</w:t>
      </w: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15"/>
          <w:szCs w:val="15"/>
          <w:highlight w:val="none"/>
          <w:lang w:val="en-US" w:eastAsia="zh-CN"/>
        </w:rPr>
      </w:pPr>
    </w:p>
    <w:p>
      <w:pPr>
        <w:spacing w:line="570" w:lineRule="atLeast"/>
        <w:rPr>
          <w:rFonts w:ascii="Times New Roman" w:hAnsi="Times New Roman" w:cs="Times New Roman"/>
          <w:highlight w:val="none"/>
        </w:rPr>
      </w:pPr>
    </w:p>
    <w:p>
      <w:pPr>
        <w:pStyle w:val="2"/>
        <w:spacing w:line="570" w:lineRule="atLeast"/>
        <w:rPr>
          <w:highlight w:val="none"/>
        </w:rPr>
      </w:pPr>
    </w:p>
    <w:p>
      <w:pPr>
        <w:pStyle w:val="2"/>
        <w:spacing w:line="570" w:lineRule="atLeast"/>
        <w:rPr>
          <w:highlight w:val="none"/>
        </w:rPr>
      </w:pPr>
    </w:p>
    <w:p>
      <w:pPr>
        <w:spacing w:line="570" w:lineRule="atLeast"/>
        <w:rPr>
          <w:rFonts w:ascii="Times New Roman" w:hAnsi="Times New Roman" w:cs="Times New Roman"/>
          <w:highlight w:val="none"/>
        </w:rPr>
      </w:pPr>
    </w:p>
    <w:p>
      <w:pPr>
        <w:pStyle w:val="2"/>
        <w:spacing w:line="570" w:lineRule="atLeast"/>
        <w:rPr>
          <w:highlight w:val="none"/>
        </w:rPr>
      </w:pPr>
    </w:p>
    <w:p>
      <w:pPr>
        <w:pStyle w:val="2"/>
        <w:spacing w:line="570" w:lineRule="atLeast"/>
        <w:rPr>
          <w:highlight w:val="none"/>
        </w:rPr>
      </w:pPr>
    </w:p>
    <w:p>
      <w:pPr>
        <w:pStyle w:val="3"/>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5"/>
        <w:tblW w:w="83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2"/>
        <w:gridCol w:w="1003"/>
        <w:gridCol w:w="1012"/>
        <w:gridCol w:w="685"/>
        <w:gridCol w:w="665"/>
        <w:gridCol w:w="975"/>
        <w:gridCol w:w="1107"/>
        <w:gridCol w:w="928"/>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3"/>
                <w:szCs w:val="13"/>
                <w:highlight w:val="none"/>
                <w:u w:val="none"/>
              </w:rPr>
            </w:pPr>
            <w:r>
              <w:rPr>
                <w:rFonts w:hint="eastAsia" w:ascii="宋体" w:hAnsi="宋体" w:eastAsia="宋体" w:cs="宋体"/>
                <w:b/>
                <w:i w:val="0"/>
                <w:color w:val="000000"/>
                <w:kern w:val="0"/>
                <w:sz w:val="13"/>
                <w:szCs w:val="13"/>
                <w:highlight w:val="none"/>
                <w:u w:val="none"/>
                <w:lang w:val="en-US" w:eastAsia="zh-CN" w:bidi="ar"/>
              </w:rPr>
              <w:t>楼层</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3"/>
                <w:szCs w:val="13"/>
                <w:highlight w:val="none"/>
                <w:u w:val="none"/>
              </w:rPr>
            </w:pPr>
            <w:r>
              <w:rPr>
                <w:rFonts w:hint="eastAsia" w:ascii="宋体" w:hAnsi="宋体" w:eastAsia="宋体" w:cs="宋体"/>
                <w:b/>
                <w:i w:val="0"/>
                <w:color w:val="000000"/>
                <w:kern w:val="0"/>
                <w:sz w:val="13"/>
                <w:szCs w:val="13"/>
                <w:highlight w:val="none"/>
                <w:u w:val="none"/>
                <w:lang w:val="en-US" w:eastAsia="zh-CN" w:bidi="ar"/>
              </w:rPr>
              <w:t>位置</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3"/>
                <w:szCs w:val="13"/>
                <w:highlight w:val="none"/>
                <w:u w:val="none"/>
              </w:rPr>
            </w:pPr>
            <w:r>
              <w:rPr>
                <w:rFonts w:hint="eastAsia" w:ascii="宋体" w:hAnsi="宋体" w:eastAsia="宋体" w:cs="宋体"/>
                <w:b/>
                <w:i w:val="0"/>
                <w:color w:val="000000"/>
                <w:kern w:val="0"/>
                <w:sz w:val="13"/>
                <w:szCs w:val="13"/>
                <w:highlight w:val="none"/>
                <w:u w:val="none"/>
                <w:lang w:val="en-US" w:eastAsia="zh-CN" w:bidi="ar"/>
              </w:rPr>
              <w:t>品种</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3"/>
                <w:szCs w:val="13"/>
                <w:highlight w:val="none"/>
                <w:u w:val="none"/>
              </w:rPr>
            </w:pPr>
            <w:r>
              <w:rPr>
                <w:rFonts w:hint="eastAsia" w:ascii="宋体" w:hAnsi="宋体" w:eastAsia="宋体" w:cs="宋体"/>
                <w:b/>
                <w:i w:val="0"/>
                <w:color w:val="000000"/>
                <w:kern w:val="0"/>
                <w:sz w:val="13"/>
                <w:szCs w:val="13"/>
                <w:highlight w:val="none"/>
                <w:u w:val="none"/>
                <w:lang w:val="en-US" w:eastAsia="zh-CN" w:bidi="ar"/>
              </w:rPr>
              <w:t>规格</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3"/>
                <w:szCs w:val="13"/>
                <w:highlight w:val="none"/>
                <w:u w:val="none"/>
              </w:rPr>
            </w:pPr>
            <w:r>
              <w:rPr>
                <w:rFonts w:hint="eastAsia" w:ascii="宋体" w:hAnsi="宋体" w:eastAsia="宋体" w:cs="宋体"/>
                <w:b/>
                <w:i w:val="0"/>
                <w:color w:val="000000"/>
                <w:kern w:val="0"/>
                <w:sz w:val="13"/>
                <w:szCs w:val="13"/>
                <w:highlight w:val="none"/>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3"/>
                <w:szCs w:val="13"/>
                <w:highlight w:val="none"/>
                <w:u w:val="none"/>
              </w:rPr>
            </w:pPr>
            <w:r>
              <w:rPr>
                <w:rFonts w:hint="eastAsia" w:ascii="宋体" w:hAnsi="宋体" w:eastAsia="宋体" w:cs="宋体"/>
                <w:b/>
                <w:i w:val="0"/>
                <w:color w:val="000000"/>
                <w:kern w:val="0"/>
                <w:sz w:val="13"/>
                <w:szCs w:val="13"/>
                <w:highlight w:val="none"/>
                <w:u w:val="none"/>
                <w:lang w:val="en-US" w:eastAsia="zh-CN" w:bidi="ar"/>
              </w:rPr>
              <w:t>花的高度</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i w:val="0"/>
                <w:color w:val="000000"/>
                <w:kern w:val="0"/>
                <w:sz w:val="13"/>
                <w:szCs w:val="13"/>
                <w:highlight w:val="none"/>
                <w:u w:val="none"/>
                <w:lang w:val="en-US" w:eastAsia="zh-CN" w:bidi="ar"/>
              </w:rPr>
            </w:pPr>
            <w:r>
              <w:rPr>
                <w:rFonts w:hint="eastAsia" w:ascii="宋体" w:hAnsi="宋体" w:eastAsia="宋体" w:cs="宋体"/>
                <w:b/>
                <w:i w:val="0"/>
                <w:color w:val="000000"/>
                <w:kern w:val="0"/>
                <w:sz w:val="13"/>
                <w:szCs w:val="13"/>
                <w:highlight w:val="none"/>
                <w:u w:val="none"/>
                <w:lang w:val="en-US" w:eastAsia="zh-CN" w:bidi="ar"/>
              </w:rPr>
              <w:t>单价</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i w:val="0"/>
                <w:color w:val="000000"/>
                <w:sz w:val="13"/>
                <w:szCs w:val="13"/>
                <w:highlight w:val="none"/>
                <w:u w:val="none"/>
              </w:rPr>
            </w:pPr>
            <w:r>
              <w:rPr>
                <w:rFonts w:hint="eastAsia" w:ascii="宋体" w:hAnsi="宋体" w:eastAsia="宋体" w:cs="宋体"/>
                <w:b/>
                <w:i w:val="0"/>
                <w:color w:val="000000"/>
                <w:kern w:val="0"/>
                <w:sz w:val="13"/>
                <w:szCs w:val="13"/>
                <w:highlight w:val="none"/>
                <w:u w:val="none"/>
                <w:lang w:val="en-US" w:eastAsia="zh-CN" w:bidi="ar"/>
              </w:rPr>
              <w:t>（元/盆/天）</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i w:val="0"/>
                <w:color w:val="000000"/>
                <w:kern w:val="0"/>
                <w:sz w:val="13"/>
                <w:szCs w:val="13"/>
                <w:highlight w:val="none"/>
                <w:u w:val="none"/>
                <w:lang w:val="en-US" w:eastAsia="zh-CN" w:bidi="ar"/>
              </w:rPr>
            </w:pPr>
            <w:r>
              <w:rPr>
                <w:rFonts w:hint="eastAsia" w:ascii="宋体" w:hAnsi="宋体" w:eastAsia="宋体" w:cs="宋体"/>
                <w:b/>
                <w:i w:val="0"/>
                <w:color w:val="000000"/>
                <w:kern w:val="0"/>
                <w:sz w:val="13"/>
                <w:szCs w:val="13"/>
                <w:highlight w:val="none"/>
                <w:u w:val="none"/>
                <w:lang w:val="en-US" w:eastAsia="zh-CN" w:bidi="ar"/>
              </w:rPr>
              <w:t xml:space="preserve">金额  </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b/>
                <w:i w:val="0"/>
                <w:color w:val="000000"/>
                <w:sz w:val="13"/>
                <w:szCs w:val="13"/>
                <w:highlight w:val="none"/>
                <w:u w:val="none"/>
              </w:rPr>
            </w:pPr>
            <w:r>
              <w:rPr>
                <w:rFonts w:hint="eastAsia" w:ascii="宋体" w:hAnsi="宋体" w:eastAsia="宋体" w:cs="宋体"/>
                <w:b/>
                <w:i w:val="0"/>
                <w:color w:val="000000"/>
                <w:kern w:val="0"/>
                <w:sz w:val="13"/>
                <w:szCs w:val="13"/>
                <w:highlight w:val="none"/>
                <w:u w:val="none"/>
                <w:lang w:val="en-US" w:eastAsia="zh-CN" w:bidi="ar"/>
              </w:rPr>
              <w:t>（元/月）</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3"/>
                <w:szCs w:val="13"/>
                <w:highlight w:val="none"/>
                <w:u w:val="none"/>
              </w:rPr>
            </w:pPr>
            <w:r>
              <w:rPr>
                <w:rFonts w:hint="eastAsia" w:ascii="宋体" w:hAnsi="宋体" w:eastAsia="宋体" w:cs="宋体"/>
                <w:b/>
                <w:i w:val="0"/>
                <w:color w:val="000000"/>
                <w:kern w:val="0"/>
                <w:sz w:val="13"/>
                <w:szCs w:val="13"/>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7"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1楼</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一楼大厅</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幸福树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1.8-2.0m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过道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绿萝</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1.5-1.8m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6"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后门</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金心也门铁</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1.2-1.4m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6"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红掌</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高档</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0.4-0.6m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1"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绿萝</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1.5-1.8m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5"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免疫科</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袖珍椰子</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0.8-1.0m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绿萝</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1.5-1.8m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8"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大门口</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榕树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盆景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2.2-2.8m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大厅</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特殊盆具</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盆具</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订做</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0"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2楼</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员工电梯口</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也门铁</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1.2-1.4m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客梯</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金心也门铁</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1.2-1.4m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9"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红掌</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高档</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0.4-0.6m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8"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过道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螺纹铁</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1.4-1.6m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7"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大厅</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绿萝</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1.5-1.8m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7"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厕所旁</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绿萝</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1.5-1.8m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8"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螺纹铁</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1.4-1.6m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8"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二楼楼梯间</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龙血树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1.2-1.4m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9"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红掌</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高档</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0.4-0.6m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2"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3楼</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员工电梯口</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绿萝</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1.5-1.8m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8"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客梯口</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金心也门铁</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1.2-1.4m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红掌</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高档</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0.4-0.6m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过道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绿萝</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1.5-1.8m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后面过道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螺纹铁</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1.4-1.6m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9"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VIP</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螺纹铁</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1.4-1.6m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8"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大厅</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天堂鸟</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1.4-1.8m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8"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前面大厅过道</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也门铁</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1.2-1.4m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螺纹铁</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1.4-1.6m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0"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5楼</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5楼顶</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人面竹</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1.8-2.0m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9"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512会议室</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夏威夷椰子</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1.4-1.6m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大厅</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幸福树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1.8-2.0m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绿萝</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1.5-1.8m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0"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电梯口</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金心也门铁</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1.2-1.4m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7"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红掌</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高档</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0.4-0.6m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6"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后面大厅</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红掌</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高档</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0.4-0.6m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9"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白掌</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小盆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0.4-0.6m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8"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万年青</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0.8-1.0m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8"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会议室</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天堂鸟</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1.4-1.8m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1"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早教</w:t>
            </w:r>
            <w:r>
              <w:rPr>
                <w:rFonts w:hint="eastAsia" w:ascii="宋体" w:hAnsi="宋体" w:eastAsia="宋体" w:cs="宋体"/>
                <w:i w:val="0"/>
                <w:color w:val="000000"/>
                <w:kern w:val="0"/>
                <w:sz w:val="13"/>
                <w:szCs w:val="13"/>
                <w:highlight w:val="none"/>
                <w:u w:val="none"/>
                <w:lang w:val="en-US" w:eastAsia="zh-CN" w:bidi="ar"/>
              </w:rPr>
              <w:br w:type="textWrapping"/>
            </w:r>
            <w:r>
              <w:rPr>
                <w:rFonts w:hint="eastAsia" w:ascii="宋体" w:hAnsi="宋体" w:eastAsia="宋体" w:cs="宋体"/>
                <w:i w:val="0"/>
                <w:color w:val="000000"/>
                <w:kern w:val="0"/>
                <w:sz w:val="13"/>
                <w:szCs w:val="13"/>
                <w:highlight w:val="none"/>
                <w:u w:val="none"/>
                <w:lang w:val="en-US" w:eastAsia="zh-CN" w:bidi="ar"/>
              </w:rPr>
              <w:t>中心</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室内</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幸福树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1.8-2.0m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9"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绿萝</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1.5-1.8m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9"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阳台</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鸭脚木</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大盆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0.8-1.0m</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10"/>
                <w:szCs w:val="10"/>
                <w:highlight w:val="none"/>
                <w:u w:val="none"/>
              </w:rPr>
            </w:pPr>
            <w:r>
              <w:rPr>
                <w:rFonts w:hint="eastAsia" w:ascii="宋体" w:hAnsi="宋体" w:eastAsia="宋体" w:cs="宋体"/>
                <w:i w:val="0"/>
                <w:color w:val="000000"/>
                <w:kern w:val="0"/>
                <w:sz w:val="10"/>
                <w:szCs w:val="10"/>
                <w:highlight w:val="none"/>
                <w:u w:val="none"/>
                <w:lang w:val="en-US" w:eastAsia="zh-CN" w:bidi="ar"/>
              </w:rPr>
              <w:t>1</w:t>
            </w:r>
            <w:r>
              <w:rPr>
                <w:rFonts w:hint="eastAsia" w:ascii="宋体" w:hAnsi="宋体" w:eastAsia="宋体" w:cs="宋体"/>
                <w:i w:val="0"/>
                <w:color w:val="000000"/>
                <w:kern w:val="0"/>
                <w:sz w:val="13"/>
                <w:szCs w:val="13"/>
                <w:highlight w:val="none"/>
                <w:u w:val="none"/>
                <w:lang w:val="en-US" w:eastAsia="zh-CN" w:bidi="ar"/>
              </w:rPr>
              <w:t>楼2号</w:t>
            </w:r>
            <w:r>
              <w:rPr>
                <w:rFonts w:hint="eastAsia" w:ascii="宋体" w:hAnsi="宋体" w:eastAsia="宋体" w:cs="宋体"/>
                <w:i w:val="0"/>
                <w:color w:val="000000"/>
                <w:kern w:val="0"/>
                <w:sz w:val="13"/>
                <w:szCs w:val="13"/>
                <w:highlight w:val="none"/>
                <w:u w:val="none"/>
                <w:lang w:val="en-US" w:eastAsia="zh-CN" w:bidi="ar"/>
              </w:rPr>
              <w:br w:type="textWrapping"/>
            </w:r>
            <w:r>
              <w:rPr>
                <w:rFonts w:hint="eastAsia" w:ascii="宋体" w:hAnsi="宋体" w:eastAsia="宋体" w:cs="宋体"/>
                <w:i w:val="0"/>
                <w:color w:val="000000"/>
                <w:kern w:val="0"/>
                <w:sz w:val="13"/>
                <w:szCs w:val="13"/>
                <w:highlight w:val="none"/>
                <w:u w:val="none"/>
                <w:lang w:val="en-US" w:eastAsia="zh-CN" w:bidi="ar"/>
              </w:rPr>
              <w:t>楼周围（面积约325平方米）</w:t>
            </w:r>
          </w:p>
        </w:tc>
        <w:tc>
          <w:tcPr>
            <w:tcW w:w="33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0"/>
                <w:szCs w:val="10"/>
                <w:highlight w:val="none"/>
                <w:u w:val="none"/>
              </w:rPr>
            </w:pPr>
            <w:r>
              <w:rPr>
                <w:rFonts w:hint="eastAsia" w:ascii="宋体" w:hAnsi="宋体" w:eastAsia="宋体" w:cs="宋体"/>
                <w:i w:val="0"/>
                <w:color w:val="000000"/>
                <w:kern w:val="0"/>
                <w:sz w:val="13"/>
                <w:szCs w:val="13"/>
                <w:highlight w:val="none"/>
                <w:u w:val="none"/>
                <w:lang w:val="en-US" w:eastAsia="zh-CN" w:bidi="ar"/>
              </w:rPr>
              <w:t>绿化养护（每周一次，每月费用为）</w:t>
            </w:r>
          </w:p>
        </w:tc>
        <w:tc>
          <w:tcPr>
            <w:tcW w:w="42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13"/>
                <w:szCs w:val="1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trPr>
        <w:tc>
          <w:tcPr>
            <w:tcW w:w="8312"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一年费用合计：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7" w:hRule="atLeast"/>
        </w:trPr>
        <w:tc>
          <w:tcPr>
            <w:tcW w:w="8312"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13"/>
                <w:szCs w:val="13"/>
                <w:highlight w:val="none"/>
                <w:u w:val="none"/>
              </w:rPr>
            </w:pPr>
            <w:r>
              <w:rPr>
                <w:rFonts w:hint="eastAsia" w:ascii="宋体" w:hAnsi="宋体" w:eastAsia="宋体" w:cs="宋体"/>
                <w:i w:val="0"/>
                <w:color w:val="000000"/>
                <w:kern w:val="0"/>
                <w:sz w:val="13"/>
                <w:szCs w:val="13"/>
                <w:highlight w:val="none"/>
                <w:u w:val="none"/>
                <w:lang w:val="en-US" w:eastAsia="zh-CN" w:bidi="ar"/>
              </w:rPr>
              <w:t>屋面（面积约371平方米）绿化养护：一次    元。（根据采购人要求半年一次，一年两次）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8312"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default" w:ascii="宋体" w:hAnsi="宋体" w:eastAsia="宋体" w:cs="宋体"/>
                <w:i w:val="0"/>
                <w:color w:val="000000"/>
                <w:kern w:val="0"/>
                <w:sz w:val="13"/>
                <w:szCs w:val="13"/>
                <w:highlight w:val="none"/>
                <w:u w:val="none"/>
                <w:lang w:val="en-US" w:eastAsia="zh-CN" w:bidi="ar"/>
              </w:rPr>
            </w:pPr>
            <w:r>
              <w:rPr>
                <w:rFonts w:hint="eastAsia" w:ascii="宋体" w:hAnsi="宋体" w:eastAsia="宋体" w:cs="宋体"/>
                <w:i w:val="0"/>
                <w:color w:val="000000"/>
                <w:kern w:val="0"/>
                <w:sz w:val="13"/>
                <w:szCs w:val="13"/>
                <w:highlight w:val="none"/>
                <w:u w:val="none"/>
                <w:lang w:val="en-US" w:eastAsia="zh-CN" w:bidi="ar"/>
              </w:rPr>
              <w:t>一年费用总计：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7" w:hRule="atLeast"/>
        </w:trPr>
        <w:tc>
          <w:tcPr>
            <w:tcW w:w="8312"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default" w:ascii="宋体" w:hAnsi="宋体" w:eastAsia="宋体" w:cs="宋体"/>
                <w:i w:val="0"/>
                <w:color w:val="000000"/>
                <w:kern w:val="0"/>
                <w:sz w:val="13"/>
                <w:szCs w:val="13"/>
                <w:highlight w:val="none"/>
                <w:u w:val="none"/>
                <w:lang w:val="en-US" w:eastAsia="zh-CN" w:bidi="ar"/>
              </w:rPr>
            </w:pPr>
            <w:r>
              <w:rPr>
                <w:rFonts w:hint="eastAsia" w:ascii="宋体" w:hAnsi="宋体" w:eastAsia="宋体" w:cs="宋体"/>
                <w:i w:val="0"/>
                <w:color w:val="000000"/>
                <w:kern w:val="0"/>
                <w:sz w:val="13"/>
                <w:szCs w:val="13"/>
                <w:highlight w:val="none"/>
                <w:u w:val="none"/>
                <w:lang w:val="en-US" w:eastAsia="zh-CN" w:bidi="ar"/>
              </w:rPr>
              <w:t>报价合计：人民币</w:t>
            </w:r>
            <w:r>
              <w:rPr>
                <w:rFonts w:hint="eastAsia" w:ascii="仿宋" w:hAnsi="仿宋" w:eastAsia="仿宋" w:cs="仿宋"/>
                <w:bCs/>
                <w:sz w:val="24"/>
                <w:szCs w:val="28"/>
                <w:highlight w:val="none"/>
                <w:u w:val="single"/>
                <w:lang w:val="en-US" w:eastAsia="zh-CN"/>
              </w:rPr>
              <w:t xml:space="preserve">            </w:t>
            </w:r>
            <w:r>
              <w:rPr>
                <w:rFonts w:hint="eastAsia" w:ascii="宋体" w:hAnsi="宋体" w:eastAsia="宋体" w:cs="宋体"/>
                <w:i w:val="0"/>
                <w:color w:val="000000"/>
                <w:kern w:val="0"/>
                <w:sz w:val="13"/>
                <w:szCs w:val="13"/>
                <w:highlight w:val="none"/>
                <w:u w:val="none"/>
                <w:lang w:val="en-US" w:eastAsia="zh-CN" w:bidi="ar"/>
              </w:rPr>
              <w:t>大写：</w:t>
            </w:r>
            <w:r>
              <w:rPr>
                <w:rFonts w:hint="eastAsia" w:ascii="仿宋" w:hAnsi="仿宋" w:eastAsia="仿宋" w:cs="仿宋"/>
                <w:bCs/>
                <w:sz w:val="24"/>
                <w:szCs w:val="28"/>
                <w:highlight w:val="none"/>
                <w:u w:val="single"/>
                <w:lang w:val="en-US" w:eastAsia="zh-CN"/>
              </w:rPr>
              <w:t xml:space="preserve">              </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hint="eastAsia" w:ascii="Times New Roman" w:hAnsi="Times New Roman" w:eastAsia="方正仿宋_GBK" w:cs="Times New Roman"/>
          <w:sz w:val="28"/>
          <w:szCs w:val="28"/>
          <w:highlight w:val="none"/>
          <w:lang w:eastAsia="zh-CN"/>
        </w:rPr>
      </w:pPr>
      <w:r>
        <w:rPr>
          <w:rFonts w:ascii="Times New Roman" w:hAnsi="Times New Roman" w:eastAsia="方正仿宋_GBK" w:cs="Times New Roman"/>
          <w:sz w:val="28"/>
          <w:szCs w:val="28"/>
          <w:highlight w:val="none"/>
        </w:rPr>
        <w:t>1.</w:t>
      </w:r>
      <w:r>
        <w:rPr>
          <w:rFonts w:hint="eastAsia" w:ascii="Times New Roman" w:hAnsi="Times New Roman" w:eastAsia="方正仿宋_GBK" w:cs="Times New Roman"/>
          <w:sz w:val="28"/>
          <w:szCs w:val="28"/>
          <w:highlight w:val="none"/>
        </w:rPr>
        <w:t>报价应是完成本项目所有采购内容和比选文件规定的其它全部费用，最终用户验收合格后的总价</w:t>
      </w:r>
      <w:r>
        <w:rPr>
          <w:rFonts w:hint="eastAsia" w:ascii="Times New Roman" w:hAnsi="Times New Roman" w:eastAsia="方正仿宋_GBK" w:cs="Times New Roman"/>
          <w:sz w:val="28"/>
          <w:szCs w:val="28"/>
          <w:highlight w:val="none"/>
          <w:lang w:eastAsia="zh-CN"/>
        </w:rPr>
        <w:t>。</w:t>
      </w:r>
    </w:p>
    <w:p>
      <w:pPr>
        <w:tabs>
          <w:tab w:val="left" w:pos="2142"/>
        </w:tabs>
        <w:spacing w:line="570" w:lineRule="atLeast"/>
        <w:ind w:firstLine="562" w:firstLineChars="200"/>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pStyle w:val="2"/>
        <w:rPr>
          <w:rFonts w:ascii="Times New Roman" w:hAnsi="Times New Roman" w:eastAsia="方正小标宋_GBK" w:cs="Times New Roman"/>
          <w:b/>
          <w:bCs/>
          <w:sz w:val="28"/>
          <w:szCs w:val="28"/>
          <w:highlight w:val="none"/>
        </w:rPr>
      </w:pPr>
    </w:p>
    <w:p>
      <w:pPr>
        <w:pStyle w:val="3"/>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2"/>
        <w:spacing w:line="570" w:lineRule="atLeast"/>
        <w:rPr>
          <w:rFonts w:eastAsia="方正小标宋_GBK"/>
          <w:b/>
          <w:bCs/>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pStyle w:val="3"/>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bookmarkStart w:id="2" w:name="_Toc237343703"/>
      <w:bookmarkStart w:id="3" w:name="_Toc174767233"/>
      <w:bookmarkStart w:id="4" w:name="_Toc95295163"/>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★说明：上述证明文件附有法定代表人、被授权代表身份证复印件（加盖公章）时才能生效。</w:t>
      </w:r>
      <w:bookmarkEnd w:id="2"/>
      <w:bookmarkEnd w:id="3"/>
      <w:bookmarkEnd w:id="4"/>
    </w:p>
    <w:p>
      <w:pPr>
        <w:pStyle w:val="2"/>
        <w:ind w:firstLine="480"/>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日期：   年    月    日</w:t>
      </w:r>
    </w:p>
    <w:p>
      <w:pPr>
        <w:pStyle w:val="2"/>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附件 </w:t>
      </w:r>
    </w:p>
    <w:p>
      <w:pPr>
        <w:pStyle w:val="2"/>
        <w:jc w:val="center"/>
        <w:rPr>
          <w:rFonts w:hint="eastAsia" w:ascii="方正小标宋_GBK" w:hAnsi="方正小标宋_GBK" w:eastAsia="方正小标宋_GBK" w:cs="方正小标宋_GBK"/>
          <w:sz w:val="32"/>
          <w:szCs w:val="32"/>
          <w:highlight w:val="none"/>
          <w:lang w:val="en-US" w:eastAsia="zh-CN"/>
        </w:rPr>
      </w:pPr>
      <w:r>
        <w:rPr>
          <w:rFonts w:hint="eastAsia" w:ascii="方正小标宋_GBK" w:hAnsi="方正小标宋_GBK" w:eastAsia="方正小标宋_GBK" w:cs="方正小标宋_GBK"/>
          <w:sz w:val="32"/>
          <w:szCs w:val="32"/>
          <w:highlight w:val="none"/>
          <w:lang w:val="en-US" w:eastAsia="zh-CN"/>
        </w:rPr>
        <w:t>花卉摆放及绿地养护半年考核表</w:t>
      </w:r>
    </w:p>
    <w:p>
      <w:pPr>
        <w:pStyle w:val="4"/>
        <w:widowControl/>
        <w:shd w:val="clear" w:color="auto" w:fill="FFFFFF"/>
        <w:spacing w:beforeAutospacing="0" w:afterAutospacing="0" w:line="570" w:lineRule="atLeast"/>
        <w:rPr>
          <w:rFonts w:hint="eastAsia" w:ascii="仿宋" w:hAnsi="仿宋" w:eastAsia="仿宋" w:cs="仿宋"/>
          <w:b/>
          <w:bCs/>
          <w:color w:val="auto"/>
          <w:kern w:val="2"/>
          <w:sz w:val="24"/>
          <w:szCs w:val="24"/>
          <w:highlight w:val="none"/>
          <w:lang w:val="en-US" w:eastAsia="zh-CN" w:bidi="ar-SA"/>
        </w:rPr>
      </w:pPr>
    </w:p>
    <w:tbl>
      <w:tblPr>
        <w:tblStyle w:val="5"/>
        <w:tblW w:w="97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33"/>
        <w:gridCol w:w="4350"/>
        <w:gridCol w:w="1148"/>
        <w:gridCol w:w="758"/>
        <w:gridCol w:w="1670"/>
        <w:gridCol w:w="64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6"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序号</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考核内容</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扣分标准</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标准得分</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扣分原因</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扣分</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1"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1</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按院方要求的数量、品种、器皿进行租摆和更换</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出现一次扣1分</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10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5"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2</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按投标规定次数进行维护，按时提供对植物养护、更换等记录表</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少一次扣2分</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20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8"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3</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植物有枯死现象，没有及时更换</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一次扣1分</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5</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4</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植物未及时修剪和浇水</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一次扣1分</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5</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5"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5</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植物有灰尘，没有及时清洁</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一次扣1分</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5</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6</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出现病虫害没有及时更换</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一次扣1分</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10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7</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植物器皿没有及时清洁</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一次扣1分</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5</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9"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8</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修剪后的枝叶未及时清理</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一次扣1分</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10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7"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9</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绿地养护，花台内有杂草，草坪不整齐</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一次扣1分</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20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5"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10</w:t>
            </w:r>
          </w:p>
        </w:tc>
        <w:tc>
          <w:tcPr>
            <w:tcW w:w="4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科室对摆放植物问题投诉属实</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一次扣2分</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5"/>
                <w:szCs w:val="15"/>
                <w:highlight w:val="none"/>
                <w:u w:val="none"/>
              </w:rPr>
            </w:pPr>
            <w:r>
              <w:rPr>
                <w:rFonts w:hint="eastAsia" w:asciiTheme="minorEastAsia" w:hAnsiTheme="minorEastAsia" w:eastAsiaTheme="minorEastAsia" w:cstheme="minorEastAsia"/>
                <w:i w:val="0"/>
                <w:color w:val="000000"/>
                <w:kern w:val="0"/>
                <w:sz w:val="15"/>
                <w:szCs w:val="15"/>
                <w:highlight w:val="none"/>
                <w:u w:val="none"/>
                <w:lang w:val="en-US" w:eastAsia="zh-CN" w:bidi="ar"/>
              </w:rPr>
              <w:t>10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kern w:val="0"/>
                <w:sz w:val="15"/>
                <w:szCs w:val="15"/>
                <w:highlight w:val="none"/>
                <w:u w:val="none"/>
                <w:lang w:val="en-US" w:eastAsia="zh-CN" w:bidi="ar"/>
              </w:rPr>
            </w:pPr>
          </w:p>
        </w:tc>
      </w:tr>
    </w:tbl>
    <w:p>
      <w:pPr>
        <w:pStyle w:val="4"/>
        <w:widowControl/>
        <w:shd w:val="clear" w:color="auto" w:fill="FFFFFF"/>
        <w:spacing w:beforeAutospacing="0" w:afterAutospacing="0" w:line="570" w:lineRule="atLeast"/>
        <w:rPr>
          <w:rFonts w:hint="eastAsia" w:ascii="仿宋" w:hAnsi="仿宋" w:eastAsia="仿宋" w:cs="仿宋"/>
          <w:b/>
          <w:bCs/>
          <w:color w:val="auto"/>
          <w:kern w:val="2"/>
          <w:sz w:val="24"/>
          <w:szCs w:val="24"/>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按每半年进行考核，满分100分，考核标准如下：</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1.考核分数在9</w:t>
      </w:r>
      <w:r>
        <w:rPr>
          <w:rFonts w:hint="eastAsia" w:asciiTheme="minorEastAsia" w:hAnsiTheme="minorEastAsia" w:cstheme="minorEastAsia"/>
          <w:color w:val="auto"/>
          <w:sz w:val="28"/>
          <w:szCs w:val="28"/>
          <w:highlight w:val="none"/>
          <w:lang w:val="en-US" w:eastAsia="zh-CN"/>
        </w:rPr>
        <w:t>0</w:t>
      </w:r>
      <w:r>
        <w:rPr>
          <w:rFonts w:hint="eastAsia" w:asciiTheme="minorEastAsia" w:hAnsiTheme="minorEastAsia" w:eastAsiaTheme="minorEastAsia" w:cstheme="minorEastAsia"/>
          <w:color w:val="auto"/>
          <w:sz w:val="28"/>
          <w:szCs w:val="28"/>
          <w:highlight w:val="none"/>
          <w:lang w:val="en-US" w:eastAsia="zh-CN"/>
        </w:rPr>
        <w:t>分（含9</w:t>
      </w:r>
      <w:r>
        <w:rPr>
          <w:rFonts w:hint="eastAsia" w:asciiTheme="minorEastAsia" w:hAnsiTheme="minorEastAsia" w:cstheme="minorEastAsia"/>
          <w:color w:val="auto"/>
          <w:sz w:val="28"/>
          <w:szCs w:val="28"/>
          <w:highlight w:val="none"/>
          <w:lang w:val="en-US" w:eastAsia="zh-CN"/>
        </w:rPr>
        <w:t>0</w:t>
      </w:r>
      <w:r>
        <w:rPr>
          <w:rFonts w:hint="eastAsia" w:asciiTheme="minorEastAsia" w:hAnsiTheme="minorEastAsia" w:eastAsiaTheme="minorEastAsia" w:cstheme="minorEastAsia"/>
          <w:color w:val="auto"/>
          <w:sz w:val="28"/>
          <w:szCs w:val="28"/>
          <w:highlight w:val="none"/>
          <w:lang w:val="en-US" w:eastAsia="zh-CN"/>
        </w:rPr>
        <w:t>分）以上评价分值为优，支付半年全部租赁费用；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2.考核分数在</w:t>
      </w:r>
      <w:r>
        <w:rPr>
          <w:rFonts w:hint="eastAsia" w:asciiTheme="minorEastAsia" w:hAnsiTheme="minorEastAsia" w:cstheme="minorEastAsia"/>
          <w:color w:val="auto"/>
          <w:sz w:val="28"/>
          <w:szCs w:val="28"/>
          <w:highlight w:val="none"/>
          <w:lang w:val="en-US" w:eastAsia="zh-CN"/>
        </w:rPr>
        <w:t>85</w:t>
      </w:r>
      <w:r>
        <w:rPr>
          <w:rFonts w:hint="eastAsia" w:asciiTheme="minorEastAsia" w:hAnsiTheme="minorEastAsia" w:eastAsiaTheme="minorEastAsia" w:cstheme="minorEastAsia"/>
          <w:color w:val="auto"/>
          <w:sz w:val="28"/>
          <w:szCs w:val="28"/>
          <w:highlight w:val="none"/>
          <w:lang w:val="en-US" w:eastAsia="zh-CN"/>
        </w:rPr>
        <w:t>分（含</w:t>
      </w:r>
      <w:r>
        <w:rPr>
          <w:rFonts w:hint="eastAsia" w:asciiTheme="minorEastAsia" w:hAnsiTheme="minorEastAsia" w:cstheme="minorEastAsia"/>
          <w:color w:val="auto"/>
          <w:sz w:val="28"/>
          <w:szCs w:val="28"/>
          <w:highlight w:val="none"/>
          <w:lang w:val="en-US" w:eastAsia="zh-CN"/>
        </w:rPr>
        <w:t>85</w:t>
      </w:r>
      <w:r>
        <w:rPr>
          <w:rFonts w:hint="eastAsia" w:asciiTheme="minorEastAsia" w:hAnsiTheme="minorEastAsia" w:eastAsiaTheme="minorEastAsia" w:cstheme="minorEastAsia"/>
          <w:color w:val="auto"/>
          <w:sz w:val="28"/>
          <w:szCs w:val="28"/>
          <w:highlight w:val="none"/>
          <w:lang w:val="en-US" w:eastAsia="zh-CN"/>
        </w:rPr>
        <w:t>分）至</w:t>
      </w:r>
      <w:r>
        <w:rPr>
          <w:rFonts w:hint="eastAsia" w:asciiTheme="minorEastAsia" w:hAnsiTheme="minorEastAsia" w:cstheme="minorEastAsia"/>
          <w:color w:val="auto"/>
          <w:sz w:val="28"/>
          <w:szCs w:val="28"/>
          <w:highlight w:val="none"/>
          <w:lang w:val="en-US" w:eastAsia="zh-CN"/>
        </w:rPr>
        <w:t>90</w:t>
      </w:r>
      <w:r>
        <w:rPr>
          <w:rFonts w:hint="eastAsia" w:asciiTheme="minorEastAsia" w:hAnsiTheme="minorEastAsia" w:eastAsiaTheme="minorEastAsia" w:cstheme="minorEastAsia"/>
          <w:color w:val="auto"/>
          <w:sz w:val="28"/>
          <w:szCs w:val="28"/>
          <w:highlight w:val="none"/>
          <w:lang w:val="en-US" w:eastAsia="zh-CN"/>
        </w:rPr>
        <w:t>分（不含</w:t>
      </w:r>
      <w:r>
        <w:rPr>
          <w:rFonts w:hint="eastAsia" w:asciiTheme="minorEastAsia" w:hAnsiTheme="minorEastAsia" w:cstheme="minorEastAsia"/>
          <w:color w:val="auto"/>
          <w:sz w:val="28"/>
          <w:szCs w:val="28"/>
          <w:highlight w:val="none"/>
          <w:lang w:val="en-US" w:eastAsia="zh-CN"/>
        </w:rPr>
        <w:t>90</w:t>
      </w:r>
      <w:r>
        <w:rPr>
          <w:rFonts w:hint="eastAsia" w:asciiTheme="minorEastAsia" w:hAnsiTheme="minorEastAsia" w:eastAsiaTheme="minorEastAsia" w:cstheme="minorEastAsia"/>
          <w:color w:val="auto"/>
          <w:sz w:val="28"/>
          <w:szCs w:val="28"/>
          <w:highlight w:val="none"/>
          <w:lang w:val="en-US" w:eastAsia="zh-CN"/>
        </w:rPr>
        <w:t>分）评价分值为良，扣除半年</w:t>
      </w:r>
      <w:r>
        <w:rPr>
          <w:rFonts w:hint="eastAsia" w:asciiTheme="minorEastAsia" w:hAnsi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lang w:val="en-US" w:eastAsia="zh-CN"/>
        </w:rPr>
        <w:t>%的租赁费用；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3.考核分数在80分（含80分）至85分（不含85分）评价分值为中，扣除半年2%的租赁费用；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eastAsiaTheme="minorEastAsia"/>
          <w:highlight w:val="none"/>
          <w:lang w:eastAsia="zh-CN"/>
        </w:rPr>
      </w:pPr>
      <w:r>
        <w:rPr>
          <w:rFonts w:hint="eastAsia" w:asciiTheme="minorEastAsia" w:hAnsiTheme="minorEastAsia" w:eastAsiaTheme="minorEastAsia" w:cstheme="minorEastAsia"/>
          <w:color w:val="auto"/>
          <w:sz w:val="28"/>
          <w:szCs w:val="28"/>
          <w:highlight w:val="none"/>
          <w:lang w:val="en-US" w:eastAsia="zh-CN"/>
        </w:rPr>
        <w:t>4.考核分数在80分以下评价分值为差，扣除半年5%的租赁费用，且医院有权解除植物租赁服务合同。</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112616"/>
    <w:multiLevelType w:val="singleLevel"/>
    <w:tmpl w:val="AB11261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1361C"/>
    <w:rsid w:val="2B6C5FAF"/>
    <w:rsid w:val="399D50F9"/>
    <w:rsid w:val="41FF5672"/>
    <w:rsid w:val="4EA26362"/>
    <w:rsid w:val="731A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szCs w:val="22"/>
    </w:rPr>
  </w:style>
  <w:style w:type="paragraph" w:styleId="3">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paragraph" w:styleId="4">
    <w:name w:val="Normal (Web)"/>
    <w:basedOn w:val="1"/>
    <w:qFormat/>
    <w:uiPriority w:val="0"/>
    <w:pPr>
      <w:spacing w:beforeAutospacing="1" w:after="0" w:afterAutospacing="1"/>
      <w:jc w:val="left"/>
    </w:pPr>
    <w:rPr>
      <w:rFonts w:cs="Times New Roman"/>
      <w:kern w:val="0"/>
      <w:sz w:val="24"/>
    </w:rPr>
  </w:style>
  <w:style w:type="table" w:styleId="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8">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2025-10-13T06:48:53Z</dcterms:created>
  <dc:creator>OS</dc:creator>
  <cp:lastModifiedBy>們泊冬吴@^_^</cp:lastModifiedBy>
  <dcterms:modified xsi:type="dcterms:W3CDTF">2025-10-13T06:52:28Z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