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autoSpaceDE/>
        <w:autoSpaceDN/>
        <w:bidi w:val="0"/>
        <w:spacing w:after="0" w:line="570" w:lineRule="exact"/>
        <w:ind w:firstLine="640" w:firstLineChars="200"/>
        <w:rPr>
          <w:rFonts w:ascii="Times New Roman" w:hAnsi="Times New Roman" w:eastAsia="方正小标宋_GBK" w:cs="Times New Roman"/>
          <w:color w:val="333333"/>
          <w:kern w:val="0"/>
          <w:sz w:val="32"/>
          <w:szCs w:val="32"/>
        </w:rPr>
      </w:pPr>
      <w:r>
        <w:rPr>
          <w:rFonts w:ascii="Times New Roman" w:hAnsi="Times New Roman" w:eastAsia="方正小标宋_GBK" w:cs="Times New Roman"/>
          <w:color w:val="333333"/>
          <w:kern w:val="0"/>
          <w:sz w:val="32"/>
          <w:szCs w:val="32"/>
        </w:rPr>
        <w:t>附件：</w:t>
      </w:r>
    </w:p>
    <w:p>
      <w:pPr>
        <w:pStyle w:val="3"/>
        <w:pageBreakBefore w:val="0"/>
        <w:kinsoku/>
        <w:topLinePunct w:val="0"/>
        <w:autoSpaceDE/>
        <w:autoSpaceDN/>
        <w:bidi w:val="0"/>
        <w:spacing w:after="0" w:line="570" w:lineRule="exact"/>
        <w:ind w:firstLine="560" w:firstLineChars="200"/>
        <w:rPr>
          <w:rFonts w:eastAsia="方正黑体_GBK"/>
          <w:color w:val="auto"/>
          <w:sz w:val="28"/>
          <w:szCs w:val="28"/>
          <w:highlight w:val="none"/>
          <w14:ligatures w14:val="standardContextual"/>
        </w:rPr>
      </w:pPr>
      <w:r>
        <w:rPr>
          <w:rFonts w:hint="eastAsia" w:eastAsia="方正黑体_GBK"/>
          <w:sz w:val="28"/>
          <w:szCs w:val="28"/>
          <w:lang w:val="en-US" w:eastAsia="zh-CN"/>
          <w14:ligatures w14:val="standardContextual"/>
        </w:rPr>
        <w:t>一</w:t>
      </w:r>
      <w:r>
        <w:rPr>
          <w:rFonts w:eastAsia="方正黑体_GBK"/>
          <w:sz w:val="28"/>
          <w:szCs w:val="28"/>
          <w14:ligatures w14:val="standardContextual"/>
        </w:rPr>
        <w:t>.项目名称：</w:t>
      </w:r>
      <w:r>
        <w:rPr>
          <w:rFonts w:hint="eastAsia" w:ascii="Times New Roman" w:hAnsi="Times New Roman" w:eastAsia="方正仿宋_GBK" w:cs="Times New Roman"/>
          <w:color w:val="auto"/>
          <w:kern w:val="2"/>
          <w:sz w:val="28"/>
          <w:szCs w:val="28"/>
          <w:highlight w:val="none"/>
          <w:lang w:val="en-US" w:eastAsia="zh-CN" w:bidi="ar-SA"/>
          <w14:ligatures w14:val="standardContextual"/>
        </w:rPr>
        <w:t>成都市金牛区妇幼保健院2024年度审计服务采购</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项目</w:t>
      </w:r>
      <w:r>
        <w:rPr>
          <w:rFonts w:eastAsia="方正仿宋_GBK"/>
          <w:color w:val="auto"/>
          <w:sz w:val="28"/>
          <w:szCs w:val="28"/>
          <w:highlight w:val="none"/>
          <w14:ligatures w14:val="standardContextual"/>
        </w:rPr>
        <w:t>。</w:t>
      </w:r>
    </w:p>
    <w:p>
      <w:pPr>
        <w:pStyle w:val="3"/>
        <w:pageBreakBefore w:val="0"/>
        <w:kinsoku/>
        <w:topLinePunct w:val="0"/>
        <w:autoSpaceDE/>
        <w:autoSpaceDN/>
        <w:bidi w:val="0"/>
        <w:spacing w:after="0" w:line="570" w:lineRule="exact"/>
        <w:ind w:firstLine="560" w:firstLineChars="200"/>
        <w:rPr>
          <w:rFonts w:eastAsia="方正仿宋_GBK"/>
          <w:sz w:val="28"/>
          <w:szCs w:val="28"/>
          <w:highlight w:val="none"/>
          <w14:ligatures w14:val="standardContextual"/>
        </w:rPr>
      </w:pPr>
      <w:r>
        <w:rPr>
          <w:rFonts w:hint="eastAsia" w:eastAsia="方正黑体_GBK"/>
          <w:sz w:val="28"/>
          <w:szCs w:val="28"/>
          <w:lang w:val="en-US" w:eastAsia="zh-CN"/>
          <w14:ligatures w14:val="standardContextual"/>
        </w:rPr>
        <w:t>二</w:t>
      </w:r>
      <w:r>
        <w:rPr>
          <w:rFonts w:eastAsia="方正黑体_GBK"/>
          <w:sz w:val="28"/>
          <w:szCs w:val="28"/>
          <w14:ligatures w14:val="standardContextual"/>
        </w:rPr>
        <w:t>.最高限价：</w:t>
      </w:r>
      <w:r>
        <w:rPr>
          <w:rFonts w:hint="eastAsia" w:eastAsia="方正仿宋_GBK"/>
          <w:sz w:val="28"/>
          <w:szCs w:val="28"/>
          <w:highlight w:val="none"/>
          <w:lang w:val="en-US" w:eastAsia="zh-CN"/>
          <w14:ligatures w14:val="standardContextual"/>
        </w:rPr>
        <w:t>2</w:t>
      </w:r>
      <w:r>
        <w:rPr>
          <w:rFonts w:eastAsia="方正仿宋_GBK"/>
          <w:sz w:val="28"/>
          <w:szCs w:val="28"/>
          <w:highlight w:val="none"/>
          <w14:ligatures w14:val="standardContextual"/>
        </w:rPr>
        <w:t>万元</w:t>
      </w:r>
      <w:r>
        <w:rPr>
          <w:rFonts w:hint="eastAsia"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超过限价的报价其</w:t>
      </w:r>
      <w:r>
        <w:rPr>
          <w:rFonts w:hint="eastAsia" w:eastAsia="方正仿宋_GBK" w:cs="Times New Roman"/>
          <w:color w:val="auto"/>
          <w:kern w:val="2"/>
          <w:sz w:val="28"/>
          <w:szCs w:val="28"/>
          <w:highlight w:val="none"/>
          <w:lang w:val="en-US" w:eastAsia="zh-CN" w:bidi="ar-SA"/>
          <w14:ligatures w14:val="standardContextual"/>
        </w:rPr>
        <w:t>响应</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文件作无效处理</w:t>
      </w:r>
      <w:r>
        <w:rPr>
          <w:rFonts w:eastAsia="方正仿宋_GBK"/>
          <w:sz w:val="28"/>
          <w:szCs w:val="28"/>
          <w:highlight w:val="none"/>
          <w14:ligatures w14:val="standardContextual"/>
        </w:rPr>
        <w:t>。</w:t>
      </w:r>
    </w:p>
    <w:p>
      <w:pPr>
        <w:pStyle w:val="3"/>
        <w:pageBreakBefore w:val="0"/>
        <w:kinsoku/>
        <w:topLinePunct w:val="0"/>
        <w:autoSpaceDE/>
        <w:autoSpaceDN/>
        <w:bidi w:val="0"/>
        <w:spacing w:after="0" w:line="570" w:lineRule="exact"/>
        <w:ind w:firstLine="482" w:firstLineChars="200"/>
        <w:rPr>
          <w:rFonts w:eastAsia="方正仿宋_GBK"/>
          <w:sz w:val="28"/>
          <w:szCs w:val="28"/>
          <w14:ligatures w14:val="standardContextual"/>
        </w:rPr>
      </w:pPr>
      <w:r>
        <w:rPr>
          <w:rFonts w:hint="eastAsia" w:ascii="仿宋" w:hAnsi="仿宋" w:eastAsia="仿宋" w:cs="宋体"/>
          <w:b/>
          <w:bCs/>
          <w:color w:val="auto"/>
          <w:kern w:val="0"/>
          <w:sz w:val="24"/>
          <w:highlight w:val="none"/>
        </w:rPr>
        <w:t>★</w:t>
      </w:r>
      <w:r>
        <w:rPr>
          <w:rFonts w:hint="eastAsia" w:eastAsia="方正黑体_GBK"/>
          <w:sz w:val="28"/>
          <w:szCs w:val="28"/>
          <w:lang w:val="en-US" w:eastAsia="zh-CN"/>
          <w14:ligatures w14:val="standardContextual"/>
        </w:rPr>
        <w:t>三</w:t>
      </w:r>
      <w:r>
        <w:rPr>
          <w:rFonts w:eastAsia="方正黑体_GBK"/>
          <w:sz w:val="28"/>
          <w:szCs w:val="28"/>
          <w14:ligatures w14:val="standardContextual"/>
        </w:rPr>
        <w:t>.相关要求：</w:t>
      </w:r>
    </w:p>
    <w:p>
      <w:pPr>
        <w:pStyle w:val="3"/>
        <w:pageBreakBefore w:val="0"/>
        <w:kinsoku/>
        <w:topLinePunct w:val="0"/>
        <w:autoSpaceDE/>
        <w:autoSpaceDN/>
        <w:bidi w:val="0"/>
        <w:spacing w:after="0" w:line="570" w:lineRule="exact"/>
        <w:ind w:firstLine="560" w:firstLineChars="200"/>
        <w:rPr>
          <w:rFonts w:hint="eastAsia" w:eastAsia="方正仿宋_GBK"/>
          <w:sz w:val="28"/>
          <w:szCs w:val="28"/>
          <w:lang w:eastAsia="zh-CN"/>
          <w14:ligatures w14:val="standardContextual"/>
        </w:rPr>
      </w:pPr>
      <w:r>
        <w:rPr>
          <w:rFonts w:hint="eastAsia" w:eastAsia="方正仿宋_GBK"/>
          <w:sz w:val="28"/>
          <w:szCs w:val="28"/>
          <w:lang w:eastAsia="zh-CN"/>
          <w14:ligatures w14:val="standardContextual"/>
        </w:rPr>
        <w:t>（</w:t>
      </w:r>
      <w:r>
        <w:rPr>
          <w:rFonts w:hint="eastAsia" w:eastAsia="方正仿宋_GBK"/>
          <w:sz w:val="28"/>
          <w:szCs w:val="28"/>
          <w:lang w:val="en-US" w:eastAsia="zh-CN"/>
          <w14:ligatures w14:val="standardContextual"/>
        </w:rPr>
        <w:t>一</w:t>
      </w:r>
      <w:r>
        <w:rPr>
          <w:rFonts w:hint="eastAsia" w:eastAsia="方正仿宋_GBK"/>
          <w:sz w:val="28"/>
          <w:szCs w:val="28"/>
          <w:lang w:eastAsia="zh-CN"/>
          <w14:ligatures w14:val="standardContextual"/>
        </w:rPr>
        <w:t>）相应单位资质要求：</w:t>
      </w:r>
    </w:p>
    <w:p>
      <w:pPr>
        <w:pStyle w:val="3"/>
        <w:pageBreakBefore w:val="0"/>
        <w:kinsoku/>
        <w:topLinePunct w:val="0"/>
        <w:autoSpaceDE/>
        <w:autoSpaceDN/>
        <w:bidi w:val="0"/>
        <w:spacing w:after="0" w:line="570" w:lineRule="exact"/>
        <w:ind w:firstLine="560" w:firstLineChars="200"/>
        <w:rPr>
          <w:rFonts w:hint="eastAsia" w:eastAsia="方正仿宋_GBK"/>
          <w:sz w:val="28"/>
          <w:szCs w:val="28"/>
          <w:lang w:eastAsia="zh-CN"/>
          <w14:ligatures w14:val="standardContextual"/>
        </w:rPr>
      </w:pPr>
      <w:r>
        <w:rPr>
          <w:rFonts w:hint="eastAsia" w:eastAsia="方正仿宋_GBK"/>
          <w:sz w:val="28"/>
          <w:szCs w:val="28"/>
          <w:lang w:eastAsia="zh-CN"/>
          <w14:ligatures w14:val="standardContextual"/>
        </w:rPr>
        <w:t>1.在中国境内注册并具有独立法人资格或合伙资格并有效存续的会计师事务所；</w:t>
      </w:r>
    </w:p>
    <w:p>
      <w:pPr>
        <w:pStyle w:val="3"/>
        <w:pageBreakBefore w:val="0"/>
        <w:kinsoku/>
        <w:topLinePunct w:val="0"/>
        <w:autoSpaceDE/>
        <w:autoSpaceDN/>
        <w:bidi w:val="0"/>
        <w:spacing w:after="0" w:line="570" w:lineRule="exact"/>
        <w:ind w:firstLine="560" w:firstLineChars="200"/>
        <w:rPr>
          <w:rFonts w:hint="eastAsia" w:eastAsia="方正仿宋_GBK"/>
          <w:sz w:val="28"/>
          <w:szCs w:val="28"/>
          <w:lang w:eastAsia="zh-CN"/>
          <w14:ligatures w14:val="standardContextual"/>
        </w:rPr>
      </w:pPr>
      <w:r>
        <w:rPr>
          <w:rFonts w:hint="eastAsia" w:eastAsia="方正仿宋_GBK"/>
          <w:sz w:val="28"/>
          <w:szCs w:val="28"/>
          <w:lang w:eastAsia="zh-CN"/>
          <w14:ligatures w14:val="standardContextual"/>
        </w:rPr>
        <w:t>2.具有省级及以上财政部门颁发的会计师事务所执业证书；</w:t>
      </w:r>
    </w:p>
    <w:p>
      <w:pPr>
        <w:pStyle w:val="3"/>
        <w:pageBreakBefore w:val="0"/>
        <w:kinsoku/>
        <w:topLinePunct w:val="0"/>
        <w:autoSpaceDE/>
        <w:autoSpaceDN/>
        <w:bidi w:val="0"/>
        <w:spacing w:after="0" w:line="570" w:lineRule="exact"/>
        <w:ind w:firstLine="560" w:firstLineChars="200"/>
        <w:rPr>
          <w:rFonts w:hint="eastAsia" w:eastAsia="方正仿宋_GBK"/>
          <w:sz w:val="28"/>
          <w:szCs w:val="28"/>
          <w:lang w:eastAsia="zh-CN"/>
          <w14:ligatures w14:val="standardContextual"/>
        </w:rPr>
      </w:pPr>
      <w:r>
        <w:rPr>
          <w:rFonts w:hint="eastAsia" w:eastAsia="方正仿宋_GBK"/>
          <w:sz w:val="28"/>
          <w:szCs w:val="28"/>
          <w:lang w:eastAsia="zh-CN"/>
          <w14:ligatures w14:val="standardContextual"/>
        </w:rPr>
        <w:t>3.具有良好的商业信誉；</w:t>
      </w:r>
    </w:p>
    <w:p>
      <w:pPr>
        <w:pStyle w:val="3"/>
        <w:pageBreakBefore w:val="0"/>
        <w:kinsoku/>
        <w:topLinePunct w:val="0"/>
        <w:autoSpaceDE/>
        <w:autoSpaceDN/>
        <w:bidi w:val="0"/>
        <w:spacing w:after="0" w:line="570" w:lineRule="exact"/>
        <w:ind w:firstLine="560" w:firstLineChars="200"/>
        <w:rPr>
          <w:rFonts w:hint="default" w:eastAsia="方正仿宋_GBK"/>
          <w:sz w:val="28"/>
          <w:szCs w:val="28"/>
          <w:lang w:val="en-US"/>
          <w14:ligatures w14:val="standardContextual"/>
        </w:rPr>
      </w:pPr>
      <w:r>
        <w:rPr>
          <w:rFonts w:hint="eastAsia" w:eastAsia="方正仿宋_GBK"/>
          <w:sz w:val="28"/>
          <w:szCs w:val="28"/>
          <w:lang w:eastAsia="zh-CN"/>
          <w14:ligatures w14:val="standardContextual"/>
        </w:rPr>
        <w:t>4.近三年以来具有良好的社会信誉和执业水平且未因工作质量等问题受到相关行政主管部门行政处罚或市场禁入。</w:t>
      </w:r>
    </w:p>
    <w:p>
      <w:pPr>
        <w:pageBreakBefore w:val="0"/>
        <w:kinsoku/>
        <w:topLinePunct w:val="0"/>
        <w:autoSpaceDE/>
        <w:autoSpaceDN/>
        <w:bidi w:val="0"/>
        <w:spacing w:after="0" w:line="570" w:lineRule="exact"/>
        <w:ind w:firstLine="560" w:firstLineChars="200"/>
        <w:rPr>
          <w:rFonts w:hint="eastAsia" w:ascii="Times New Roman" w:hAnsi="Times New Roman" w:eastAsia="方正仿宋_GBK" w:cs="Times New Roman"/>
          <w:sz w:val="28"/>
          <w:szCs w:val="28"/>
          <w14:ligatures w14:val="standardContextual"/>
        </w:rPr>
      </w:pPr>
      <w:r>
        <w:rPr>
          <w:rFonts w:hint="eastAsia" w:ascii="Times New Roman" w:hAnsi="Times New Roman" w:eastAsia="方正仿宋_GBK" w:cs="Times New Roman"/>
          <w:sz w:val="28"/>
          <w:szCs w:val="28"/>
          <w:lang w:eastAsia="zh-CN"/>
          <w14:ligatures w14:val="standardContextual"/>
        </w:rPr>
        <w:t>（</w:t>
      </w:r>
      <w:r>
        <w:rPr>
          <w:rFonts w:hint="eastAsia" w:ascii="Times New Roman" w:hAnsi="Times New Roman" w:eastAsia="方正仿宋_GBK" w:cs="Times New Roman"/>
          <w:sz w:val="28"/>
          <w:szCs w:val="28"/>
          <w:lang w:val="en-US" w:eastAsia="zh-CN"/>
          <w14:ligatures w14:val="standardContextual"/>
        </w:rPr>
        <w:t>二</w:t>
      </w:r>
      <w:r>
        <w:rPr>
          <w:rFonts w:hint="eastAsia" w:ascii="Times New Roman" w:hAnsi="Times New Roman" w:eastAsia="方正仿宋_GBK" w:cs="Times New Roman"/>
          <w:sz w:val="28"/>
          <w:szCs w:val="28"/>
          <w:lang w:eastAsia="zh-CN"/>
          <w14:ligatures w14:val="standardContextual"/>
        </w:rPr>
        <w:t>）</w:t>
      </w:r>
      <w:r>
        <w:rPr>
          <w:rFonts w:hint="eastAsia" w:ascii="Times New Roman" w:hAnsi="Times New Roman" w:eastAsia="方正仿宋_GBK" w:cs="Times New Roman"/>
          <w:sz w:val="28"/>
          <w:szCs w:val="28"/>
          <w:lang w:val="en-US" w:eastAsia="zh-CN"/>
          <w14:ligatures w14:val="standardContextual"/>
        </w:rPr>
        <w:t>审计服务</w:t>
      </w:r>
      <w:r>
        <w:rPr>
          <w:rFonts w:ascii="Times New Roman" w:hAnsi="Times New Roman" w:eastAsia="方正仿宋_GBK" w:cs="Times New Roman"/>
          <w:sz w:val="28"/>
          <w:szCs w:val="28"/>
          <w14:ligatures w14:val="standardContextual"/>
        </w:rPr>
        <w:t>要求</w:t>
      </w:r>
      <w:r>
        <w:rPr>
          <w:rFonts w:hint="eastAsia" w:ascii="Times New Roman" w:hAnsi="Times New Roman" w:eastAsia="方正仿宋_GBK" w:cs="Times New Roman"/>
          <w:sz w:val="28"/>
          <w:szCs w:val="28"/>
          <w14:ligatures w14:val="standardContextual"/>
        </w:rPr>
        <w:t>：</w:t>
      </w:r>
    </w:p>
    <w:p>
      <w:pPr>
        <w:pStyle w:val="3"/>
        <w:pageBreakBefore w:val="0"/>
        <w:kinsoku/>
        <w:topLinePunct w:val="0"/>
        <w:autoSpaceDE/>
        <w:autoSpaceDN/>
        <w:bidi w:val="0"/>
        <w:spacing w:after="0" w:line="570" w:lineRule="exact"/>
        <w:ind w:firstLine="560" w:firstLineChars="200"/>
        <w:rPr>
          <w:rFonts w:hint="default" w:eastAsia="方正仿宋_GBK"/>
          <w:color w:val="auto"/>
          <w:sz w:val="28"/>
          <w:szCs w:val="28"/>
          <w:lang w:val="en-US" w:eastAsia="zh-CN"/>
          <w14:ligatures w14:val="standardContextual"/>
        </w:rPr>
      </w:pPr>
      <w:r>
        <w:rPr>
          <w:rFonts w:hint="eastAsia" w:eastAsia="方正仿宋_GBK"/>
          <w:sz w:val="28"/>
          <w:szCs w:val="28"/>
          <w:lang w:val="en-US" w:eastAsia="zh-CN"/>
          <w14:ligatures w14:val="standardContextual"/>
        </w:rPr>
        <w:t>1.对成都市金牛区妇幼保健院2024年度财务报表、2024年度财务收支、2024年度药品医用耗材和医用仪器设备采购内部控制情况进行审计，于2025年8月29日前分别出具审计报</w:t>
      </w:r>
      <w:r>
        <w:rPr>
          <w:rFonts w:hint="eastAsia" w:eastAsia="方正仿宋_GBK"/>
          <w:color w:val="auto"/>
          <w:sz w:val="28"/>
          <w:szCs w:val="28"/>
          <w:lang w:val="en-US" w:eastAsia="zh-CN"/>
          <w14:ligatures w14:val="standardContextual"/>
        </w:rPr>
        <w:t>告；</w:t>
      </w:r>
    </w:p>
    <w:p>
      <w:pPr>
        <w:pStyle w:val="3"/>
        <w:pageBreakBefore w:val="0"/>
        <w:kinsoku/>
        <w:topLinePunct w:val="0"/>
        <w:autoSpaceDE/>
        <w:autoSpaceDN/>
        <w:bidi w:val="0"/>
        <w:spacing w:after="0" w:line="570" w:lineRule="exact"/>
        <w:ind w:firstLine="560" w:firstLineChars="200"/>
        <w:rPr>
          <w:rFonts w:hint="eastAsia" w:eastAsia="方正仿宋_GBK"/>
          <w:color w:val="auto"/>
          <w:sz w:val="28"/>
          <w:szCs w:val="28"/>
          <w:lang w:eastAsia="zh-CN"/>
          <w14:ligatures w14:val="standardContextual"/>
        </w:rPr>
      </w:pPr>
      <w:r>
        <w:rPr>
          <w:rFonts w:hint="eastAsia" w:eastAsia="方正仿宋_GBK"/>
          <w:color w:val="auto"/>
          <w:sz w:val="28"/>
          <w:szCs w:val="28"/>
          <w:lang w:val="en-US" w:eastAsia="zh-CN"/>
          <w14:ligatures w14:val="standardContextual"/>
        </w:rPr>
        <w:t>2.</w:t>
      </w:r>
      <w:r>
        <w:rPr>
          <w:rFonts w:hint="eastAsia" w:eastAsia="方正仿宋_GBK"/>
          <w:color w:val="auto"/>
          <w:sz w:val="28"/>
          <w:szCs w:val="28"/>
          <w:lang w:eastAsia="zh-CN"/>
          <w14:ligatures w14:val="standardContextual"/>
        </w:rPr>
        <w:t>至少</w:t>
      </w:r>
      <w:r>
        <w:rPr>
          <w:rFonts w:hint="eastAsia" w:eastAsia="方正仿宋_GBK"/>
          <w:color w:val="auto"/>
          <w:sz w:val="28"/>
          <w:szCs w:val="28"/>
          <w:lang w:val="en-US" w:eastAsia="zh-CN"/>
          <w14:ligatures w14:val="standardContextual"/>
        </w:rPr>
        <w:t>同时</w:t>
      </w:r>
      <w:r>
        <w:rPr>
          <w:rFonts w:hint="eastAsia" w:eastAsia="方正仿宋_GBK"/>
          <w:color w:val="auto"/>
          <w:sz w:val="28"/>
          <w:szCs w:val="28"/>
          <w:lang w:eastAsia="zh-CN"/>
          <w14:ligatures w14:val="standardContextual"/>
        </w:rPr>
        <w:t>配备4名以上人员</w:t>
      </w:r>
      <w:r>
        <w:rPr>
          <w:rFonts w:hint="eastAsia" w:eastAsia="方正仿宋_GBK"/>
          <w:color w:val="auto"/>
          <w:sz w:val="28"/>
          <w:szCs w:val="28"/>
          <w:lang w:val="en-US" w:eastAsia="zh-CN"/>
          <w14:ligatures w14:val="standardContextual"/>
        </w:rPr>
        <w:t>现场审计</w:t>
      </w:r>
      <w:r>
        <w:rPr>
          <w:rFonts w:hint="eastAsia" w:eastAsia="方正仿宋_GBK"/>
          <w:color w:val="auto"/>
          <w:sz w:val="28"/>
          <w:szCs w:val="28"/>
          <w:lang w:eastAsia="zh-CN"/>
          <w14:ligatures w14:val="standardContextual"/>
        </w:rPr>
        <w:t>，提供人员的证书复印件。</w:t>
      </w:r>
    </w:p>
    <w:p>
      <w:pPr>
        <w:pStyle w:val="3"/>
        <w:pageBreakBefore w:val="0"/>
        <w:kinsoku/>
        <w:topLinePunct w:val="0"/>
        <w:autoSpaceDE/>
        <w:autoSpaceDN/>
        <w:bidi w:val="0"/>
        <w:spacing w:after="0" w:line="570" w:lineRule="exact"/>
        <w:ind w:firstLine="560" w:firstLineChars="200"/>
        <w:rPr>
          <w:rFonts w:hint="default" w:eastAsia="方正仿宋_GBK"/>
          <w:sz w:val="28"/>
          <w:szCs w:val="28"/>
          <w:lang w:val="en-US" w:eastAsia="zh-CN"/>
          <w14:ligatures w14:val="standardContextual"/>
        </w:rPr>
      </w:pPr>
    </w:p>
    <w:p>
      <w:pPr>
        <w:pageBreakBefore w:val="0"/>
        <w:kinsoku/>
        <w:topLinePunct w:val="0"/>
        <w:autoSpaceDE/>
        <w:autoSpaceDN/>
        <w:bidi w:val="0"/>
        <w:spacing w:after="0" w:line="570" w:lineRule="exact"/>
        <w:ind w:firstLine="482" w:firstLineChars="200"/>
        <w:rPr>
          <w:rFonts w:ascii="Times New Roman" w:hAnsi="Times New Roman" w:cs="Times New Roman"/>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pStyle w:val="3"/>
        <w:pageBreakBefore w:val="0"/>
        <w:kinsoku/>
        <w:topLinePunct w:val="0"/>
        <w:autoSpaceDE/>
        <w:autoSpaceDN/>
        <w:bidi w:val="0"/>
        <w:spacing w:after="0" w:line="570" w:lineRule="exact"/>
        <w:ind w:firstLine="420" w:firstLineChars="200"/>
      </w:pPr>
    </w:p>
    <w:p>
      <w:pPr>
        <w:pageBreakBefore w:val="0"/>
        <w:widowControl/>
        <w:shd w:val="clear" w:color="auto" w:fill="FFFFFF"/>
        <w:kinsoku/>
        <w:wordWrap w:val="0"/>
        <w:topLinePunct w:val="0"/>
        <w:autoSpaceDE/>
        <w:autoSpaceDN/>
        <w:bidi w:val="0"/>
        <w:spacing w:after="0" w:line="570" w:lineRule="exact"/>
        <w:ind w:firstLine="640" w:firstLineChars="200"/>
        <w:jc w:val="center"/>
        <w:rPr>
          <w:rFonts w:ascii="Times New Roman" w:hAnsi="Times New Roman" w:eastAsia="方正小标宋_GBK" w:cs="Times New Roman"/>
          <w:color w:val="333333"/>
          <w:kern w:val="0"/>
          <w:sz w:val="32"/>
          <w:szCs w:val="32"/>
        </w:rPr>
      </w:pPr>
    </w:p>
    <w:p>
      <w:pPr>
        <w:pStyle w:val="3"/>
        <w:rPr>
          <w:rFonts w:ascii="Times New Roman" w:hAnsi="Times New Roman" w:eastAsia="方正小标宋_GBK" w:cs="Times New Roman"/>
          <w:color w:val="333333"/>
          <w:kern w:val="0"/>
          <w:sz w:val="32"/>
          <w:szCs w:val="32"/>
        </w:rPr>
      </w:pPr>
    </w:p>
    <w:p>
      <w:pPr>
        <w:rPr>
          <w:rFonts w:ascii="Times New Roman" w:hAnsi="Times New Roman" w:eastAsia="方正小标宋_GBK" w:cs="Times New Roman"/>
          <w:color w:val="333333"/>
          <w:kern w:val="0"/>
          <w:sz w:val="32"/>
          <w:szCs w:val="32"/>
        </w:rPr>
      </w:pPr>
    </w:p>
    <w:p>
      <w:pPr>
        <w:pStyle w:val="3"/>
      </w:pPr>
    </w:p>
    <w:p>
      <w:pPr>
        <w:pageBreakBefore w:val="0"/>
        <w:widowControl/>
        <w:shd w:val="clear" w:color="auto" w:fill="FFFFFF"/>
        <w:kinsoku/>
        <w:wordWrap w:val="0"/>
        <w:topLinePunct w:val="0"/>
        <w:autoSpaceDE/>
        <w:autoSpaceDN/>
        <w:bidi w:val="0"/>
        <w:spacing w:after="0" w:line="570" w:lineRule="exact"/>
        <w:jc w:val="center"/>
        <w:rPr>
          <w:rFonts w:ascii="Times New Roman" w:hAnsi="Times New Roman" w:eastAsia="方正小标宋_GBK" w:cs="Times New Roman"/>
          <w:color w:val="333333"/>
          <w:kern w:val="0"/>
          <w:sz w:val="32"/>
          <w:szCs w:val="32"/>
        </w:rPr>
      </w:pPr>
      <w:r>
        <w:rPr>
          <w:rFonts w:ascii="Times New Roman" w:hAnsi="Times New Roman" w:eastAsia="方正小标宋_GBK" w:cs="Times New Roman"/>
          <w:color w:val="333333"/>
          <w:kern w:val="0"/>
          <w:sz w:val="32"/>
          <w:szCs w:val="32"/>
        </w:rPr>
        <w:t>报价表</w:t>
      </w:r>
    </w:p>
    <w:p>
      <w:pPr>
        <w:pStyle w:val="3"/>
      </w:pPr>
    </w:p>
    <w:tbl>
      <w:tblPr>
        <w:tblStyle w:val="4"/>
        <w:tblW w:w="8907" w:type="dxa"/>
        <w:jc w:val="center"/>
        <w:tblCellSpacing w:w="0" w:type="dxa"/>
        <w:tblInd w:w="0" w:type="dxa"/>
        <w:tblLayout w:type="fixed"/>
        <w:tblCellMar>
          <w:top w:w="0" w:type="dxa"/>
          <w:left w:w="0" w:type="dxa"/>
          <w:bottom w:w="0" w:type="dxa"/>
          <w:right w:w="0" w:type="dxa"/>
        </w:tblCellMar>
      </w:tblPr>
      <w:tblGrid>
        <w:gridCol w:w="840"/>
        <w:gridCol w:w="4103"/>
        <w:gridCol w:w="3964"/>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after="0" w:line="57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after="0" w:line="57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项目名称</w:t>
            </w:r>
          </w:p>
        </w:tc>
        <w:tc>
          <w:tcPr>
            <w:tcW w:w="396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after="0" w:line="570" w:lineRule="exact"/>
              <w:ind w:firstLine="480" w:firstLineChars="20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after="0" w:line="57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after="0" w:line="570" w:lineRule="exact"/>
              <w:jc w:val="center"/>
              <w:textAlignment w:val="auto"/>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成都市金牛区妇幼保健院</w:t>
            </w:r>
            <w:r>
              <w:rPr>
                <w:rFonts w:hint="default" w:ascii="Times New Roman" w:hAnsi="Times New Roman" w:eastAsia="方正仿宋_GBK" w:cs="Times New Roman"/>
                <w:color w:val="auto"/>
                <w:sz w:val="24"/>
                <w:szCs w:val="24"/>
                <w:lang w:val="en-US"/>
              </w:rPr>
              <w:t>2024年度审计服务采购项目</w:t>
            </w:r>
          </w:p>
        </w:tc>
        <w:tc>
          <w:tcPr>
            <w:tcW w:w="396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after="0" w:line="570" w:lineRule="exact"/>
              <w:ind w:firstLine="480" w:firstLineChars="200"/>
              <w:jc w:val="center"/>
              <w:textAlignment w:val="auto"/>
              <w:rPr>
                <w:rFonts w:hint="default" w:ascii="Times New Roman" w:hAnsi="Times New Roman" w:eastAsia="方正仿宋_GBK" w:cs="Times New Roman"/>
                <w:color w:val="auto"/>
                <w:sz w:val="24"/>
                <w:szCs w:val="24"/>
              </w:rPr>
            </w:pPr>
          </w:p>
        </w:tc>
      </w:tr>
      <w:tr>
        <w:tblPrEx>
          <w:tblLayout w:type="fixed"/>
          <w:tblCellMar>
            <w:top w:w="0" w:type="dxa"/>
            <w:left w:w="0" w:type="dxa"/>
            <w:bottom w:w="0" w:type="dxa"/>
            <w:right w:w="0" w:type="dxa"/>
          </w:tblCellMar>
        </w:tblPrEx>
        <w:trPr>
          <w:trHeight w:val="620" w:hRule="atLeast"/>
          <w:tblCellSpacing w:w="0" w:type="dxa"/>
          <w:jc w:val="center"/>
        </w:trPr>
        <w:tc>
          <w:tcPr>
            <w:tcW w:w="890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after="0" w:line="570" w:lineRule="exact"/>
              <w:ind w:firstLine="480" w:firstLineChars="20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合计金额（大写）：</w:t>
            </w:r>
          </w:p>
        </w:tc>
      </w:tr>
    </w:tbl>
    <w:p>
      <w:pPr>
        <w:pageBreakBefore w:val="0"/>
        <w:tabs>
          <w:tab w:val="left" w:pos="2142"/>
        </w:tabs>
        <w:kinsoku/>
        <w:topLinePunct w:val="0"/>
        <w:autoSpaceDE/>
        <w:autoSpaceDN/>
        <w:bidi w:val="0"/>
        <w:spacing w:after="0" w:line="570" w:lineRule="exact"/>
        <w:ind w:firstLine="562" w:firstLineChars="200"/>
        <w:rPr>
          <w:rFonts w:hint="eastAsia" w:ascii="Times New Roman" w:hAnsi="Times New Roman" w:eastAsia="方正仿宋_GBK" w:cs="Times New Roman"/>
          <w:sz w:val="28"/>
          <w:szCs w:val="28"/>
          <w:lang w:eastAsia="zh-CN"/>
        </w:rPr>
      </w:pPr>
      <w:r>
        <w:rPr>
          <w:rFonts w:ascii="Times New Roman" w:hAnsi="Times New Roman" w:eastAsia="方正仿宋_GBK" w:cs="Times New Roman"/>
          <w:b/>
          <w:bCs/>
          <w:sz w:val="28"/>
          <w:szCs w:val="28"/>
        </w:rPr>
        <w:t>注：</w:t>
      </w:r>
      <w:r>
        <w:rPr>
          <w:rFonts w:ascii="Times New Roman" w:hAnsi="Times New Roman" w:eastAsia="方正仿宋_GBK" w:cs="Times New Roman"/>
          <w:sz w:val="28"/>
          <w:szCs w:val="28"/>
        </w:rPr>
        <w:t>报价应是最终用户验收合格后的总价</w:t>
      </w:r>
      <w:r>
        <w:rPr>
          <w:rFonts w:hint="eastAsia" w:ascii="Times New Roman" w:hAnsi="Times New Roman" w:eastAsia="方正仿宋_GBK" w:cs="Times New Roman"/>
          <w:sz w:val="28"/>
          <w:szCs w:val="28"/>
          <w:lang w:eastAsia="zh-CN"/>
        </w:rPr>
        <w:t>。</w:t>
      </w:r>
    </w:p>
    <w:p>
      <w:pPr>
        <w:pageBreakBefore w:val="0"/>
        <w:tabs>
          <w:tab w:val="left" w:pos="2142"/>
        </w:tabs>
        <w:kinsoku/>
        <w:topLinePunct w:val="0"/>
        <w:autoSpaceDE/>
        <w:autoSpaceDN/>
        <w:bidi w:val="0"/>
        <w:spacing w:after="0" w:line="570" w:lineRule="exact"/>
        <w:ind w:firstLine="560" w:firstLineChars="200"/>
        <w:rPr>
          <w:rFonts w:ascii="Times New Roman" w:hAnsi="Times New Roman" w:eastAsia="方正仿宋_GBK" w:cs="Times New Roman"/>
          <w:sz w:val="28"/>
          <w:szCs w:val="28"/>
        </w:rPr>
      </w:pPr>
    </w:p>
    <w:p>
      <w:pPr>
        <w:pageBreakBefore w:val="0"/>
        <w:tabs>
          <w:tab w:val="left" w:pos="2142"/>
        </w:tabs>
        <w:kinsoku/>
        <w:topLinePunct w:val="0"/>
        <w:autoSpaceDE/>
        <w:autoSpaceDN/>
        <w:bidi w:val="0"/>
        <w:spacing w:after="0" w:line="57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供应商名称：（盖章）</w:t>
      </w:r>
    </w:p>
    <w:p>
      <w:pPr>
        <w:pageBreakBefore w:val="0"/>
        <w:tabs>
          <w:tab w:val="left" w:pos="2142"/>
        </w:tabs>
        <w:kinsoku/>
        <w:topLinePunct w:val="0"/>
        <w:autoSpaceDE/>
        <w:autoSpaceDN/>
        <w:bidi w:val="0"/>
        <w:spacing w:after="0" w:line="57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法定代表人或授权代表（签字）：</w:t>
      </w:r>
    </w:p>
    <w:p>
      <w:pPr>
        <w:pageBreakBefore w:val="0"/>
        <w:tabs>
          <w:tab w:val="left" w:pos="2142"/>
        </w:tabs>
        <w:kinsoku/>
        <w:topLinePunct w:val="0"/>
        <w:autoSpaceDE/>
        <w:autoSpaceDN/>
        <w:bidi w:val="0"/>
        <w:spacing w:after="0" w:line="57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日期：</w:t>
      </w:r>
    </w:p>
    <w:p>
      <w:pPr>
        <w:pageBreakBefore w:val="0"/>
        <w:kinsoku/>
        <w:topLinePunct w:val="0"/>
        <w:autoSpaceDE/>
        <w:autoSpaceDN/>
        <w:bidi w:val="0"/>
        <w:spacing w:after="0" w:line="570" w:lineRule="exact"/>
        <w:ind w:firstLine="562" w:firstLineChars="200"/>
        <w:jc w:val="center"/>
        <w:rPr>
          <w:rFonts w:ascii="Times New Roman" w:hAnsi="Times New Roman" w:eastAsia="方正小标宋_GBK" w:cs="Times New Roman"/>
          <w:b/>
          <w:bCs/>
          <w:sz w:val="28"/>
          <w:szCs w:val="28"/>
        </w:rPr>
      </w:pPr>
    </w:p>
    <w:p>
      <w:pPr>
        <w:pStyle w:val="3"/>
        <w:pageBreakBefore w:val="0"/>
        <w:kinsoku/>
        <w:topLinePunct w:val="0"/>
        <w:autoSpaceDE/>
        <w:autoSpaceDN/>
        <w:bidi w:val="0"/>
        <w:spacing w:after="0" w:line="570" w:lineRule="exact"/>
        <w:ind w:firstLine="562" w:firstLineChars="200"/>
        <w:rPr>
          <w:rFonts w:eastAsia="方正小标宋_GBK"/>
          <w:b/>
          <w:bCs/>
          <w:sz w:val="28"/>
          <w:szCs w:val="28"/>
        </w:rPr>
      </w:pPr>
    </w:p>
    <w:p>
      <w:pPr>
        <w:pageBreakBefore w:val="0"/>
        <w:tabs>
          <w:tab w:val="left" w:pos="6300"/>
        </w:tabs>
        <w:kinsoku/>
        <w:topLinePunct w:val="0"/>
        <w:autoSpaceDE/>
        <w:autoSpaceDN/>
        <w:bidi w:val="0"/>
        <w:spacing w:after="0" w:line="570" w:lineRule="exact"/>
        <w:ind w:firstLine="560" w:firstLineChars="200"/>
        <w:jc w:val="center"/>
        <w:rPr>
          <w:rFonts w:ascii="Times New Roman" w:hAnsi="Times New Roman" w:eastAsia="方正仿宋_GBK" w:cs="Times New Roman"/>
          <w:sz w:val="28"/>
          <w:szCs w:val="28"/>
        </w:rPr>
      </w:pPr>
    </w:p>
    <w:p>
      <w:pPr>
        <w:pageBreakBefore w:val="0"/>
        <w:tabs>
          <w:tab w:val="left" w:pos="6300"/>
        </w:tabs>
        <w:kinsoku/>
        <w:topLinePunct w:val="0"/>
        <w:autoSpaceDE/>
        <w:autoSpaceDN/>
        <w:bidi w:val="0"/>
        <w:spacing w:after="0" w:line="570" w:lineRule="exact"/>
        <w:ind w:firstLine="560" w:firstLineChars="200"/>
        <w:jc w:val="center"/>
        <w:rPr>
          <w:rFonts w:ascii="Times New Roman" w:hAnsi="Times New Roman" w:eastAsia="方正仿宋_GBK" w:cs="Times New Roman"/>
          <w:sz w:val="28"/>
          <w:szCs w:val="28"/>
        </w:rPr>
      </w:pPr>
    </w:p>
    <w:p>
      <w:pPr>
        <w:pageBreakBefore w:val="0"/>
        <w:tabs>
          <w:tab w:val="left" w:pos="6300"/>
        </w:tabs>
        <w:kinsoku/>
        <w:topLinePunct w:val="0"/>
        <w:autoSpaceDE/>
        <w:autoSpaceDN/>
        <w:bidi w:val="0"/>
        <w:spacing w:after="0" w:line="570" w:lineRule="exact"/>
        <w:ind w:firstLine="560" w:firstLineChars="200"/>
        <w:jc w:val="center"/>
        <w:rPr>
          <w:rFonts w:ascii="Times New Roman" w:hAnsi="Times New Roman" w:eastAsia="方正仿宋_GBK" w:cs="Times New Roman"/>
          <w:sz w:val="28"/>
          <w:szCs w:val="28"/>
        </w:rPr>
      </w:pPr>
    </w:p>
    <w:p>
      <w:pPr>
        <w:pStyle w:val="3"/>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pStyle w:val="3"/>
        <w:rPr>
          <w:rFonts w:ascii="Times New Roman" w:hAnsi="Times New Roman" w:eastAsia="方正仿宋_GBK" w:cs="Times New Roman"/>
          <w:sz w:val="28"/>
          <w:szCs w:val="28"/>
        </w:rPr>
      </w:pPr>
    </w:p>
    <w:p/>
    <w:p>
      <w:pPr>
        <w:pageBreakBefore w:val="0"/>
        <w:tabs>
          <w:tab w:val="left" w:pos="6300"/>
        </w:tabs>
        <w:kinsoku/>
        <w:topLinePunct w:val="0"/>
        <w:autoSpaceDE/>
        <w:autoSpaceDN/>
        <w:bidi w:val="0"/>
        <w:spacing w:after="0" w:line="570" w:lineRule="exact"/>
        <w:ind w:firstLine="560" w:firstLineChars="200"/>
        <w:jc w:val="center"/>
        <w:rPr>
          <w:rFonts w:ascii="Times New Roman" w:hAnsi="Times New Roman" w:eastAsia="方正仿宋_GBK" w:cs="Times New Roman"/>
          <w:sz w:val="28"/>
          <w:szCs w:val="28"/>
        </w:rPr>
      </w:pPr>
    </w:p>
    <w:p>
      <w:pPr>
        <w:pageBreakBefore w:val="0"/>
        <w:tabs>
          <w:tab w:val="left" w:pos="6300"/>
        </w:tabs>
        <w:kinsoku/>
        <w:topLinePunct w:val="0"/>
        <w:autoSpaceDE/>
        <w:autoSpaceDN/>
        <w:bidi w:val="0"/>
        <w:spacing w:after="0" w:line="570" w:lineRule="exact"/>
        <w:jc w:val="both"/>
        <w:rPr>
          <w:rFonts w:ascii="Times New Roman" w:hAnsi="Times New Roman" w:eastAsia="方正仿宋_GBK" w:cs="Times New Roman"/>
          <w:sz w:val="28"/>
          <w:szCs w:val="28"/>
        </w:rPr>
      </w:pPr>
    </w:p>
    <w:p>
      <w:pPr>
        <w:pageBreakBefore w:val="0"/>
        <w:widowControl/>
        <w:shd w:val="clear" w:color="auto" w:fill="FFFFFF"/>
        <w:kinsoku/>
        <w:wordWrap w:val="0"/>
        <w:topLinePunct w:val="0"/>
        <w:autoSpaceDE/>
        <w:autoSpaceDN/>
        <w:bidi w:val="0"/>
        <w:spacing w:after="0" w:line="570" w:lineRule="exact"/>
        <w:jc w:val="center"/>
        <w:rPr>
          <w:rFonts w:ascii="Times New Roman" w:hAnsi="Times New Roman" w:eastAsia="方正小标宋_GBK" w:cs="Times New Roman"/>
          <w:color w:val="333333"/>
          <w:kern w:val="0"/>
          <w:sz w:val="32"/>
          <w:szCs w:val="32"/>
        </w:rPr>
      </w:pPr>
    </w:p>
    <w:p>
      <w:pPr>
        <w:pageBreakBefore w:val="0"/>
        <w:widowControl/>
        <w:shd w:val="clear" w:color="auto" w:fill="FFFFFF"/>
        <w:kinsoku/>
        <w:wordWrap w:val="0"/>
        <w:topLinePunct w:val="0"/>
        <w:autoSpaceDE/>
        <w:autoSpaceDN/>
        <w:bidi w:val="0"/>
        <w:spacing w:after="0" w:line="570" w:lineRule="exact"/>
        <w:jc w:val="center"/>
        <w:rPr>
          <w:rFonts w:ascii="Times New Roman" w:hAnsi="Times New Roman" w:eastAsia="方正小标宋_GBK" w:cs="Times New Roman"/>
          <w:color w:val="333333"/>
          <w:kern w:val="0"/>
          <w:sz w:val="32"/>
          <w:szCs w:val="32"/>
        </w:rPr>
      </w:pPr>
    </w:p>
    <w:p>
      <w:pPr>
        <w:pageBreakBefore w:val="0"/>
        <w:widowControl/>
        <w:shd w:val="clear" w:color="auto" w:fill="FFFFFF"/>
        <w:kinsoku/>
        <w:wordWrap w:val="0"/>
        <w:topLinePunct w:val="0"/>
        <w:autoSpaceDE/>
        <w:autoSpaceDN/>
        <w:bidi w:val="0"/>
        <w:spacing w:after="0" w:line="570" w:lineRule="exact"/>
        <w:jc w:val="center"/>
        <w:rPr>
          <w:rFonts w:ascii="Times New Roman" w:hAnsi="Times New Roman" w:eastAsia="方正小标宋_GBK" w:cs="Times New Roman"/>
          <w:color w:val="333333"/>
          <w:kern w:val="0"/>
          <w:sz w:val="32"/>
          <w:szCs w:val="32"/>
        </w:rPr>
      </w:pPr>
      <w:r>
        <w:rPr>
          <w:rFonts w:ascii="Times New Roman" w:hAnsi="Times New Roman" w:eastAsia="方正小标宋_GBK" w:cs="Times New Roman"/>
          <w:color w:val="333333"/>
          <w:kern w:val="0"/>
          <w:sz w:val="32"/>
          <w:szCs w:val="32"/>
        </w:rPr>
        <w:t>响应表</w:t>
      </w: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pageBreakBefore w:val="0"/>
              <w:tabs>
                <w:tab w:val="left" w:pos="6300"/>
              </w:tabs>
              <w:kinsoku/>
              <w:topLinePunct w:val="0"/>
              <w:autoSpaceDE/>
              <w:autoSpaceDN/>
              <w:bidi w:val="0"/>
              <w:spacing w:after="0" w:line="570" w:lineRule="exact"/>
              <w:jc w:val="center"/>
              <w:rPr>
                <w:rFonts w:ascii="Times New Roman" w:hAnsi="Times New Roman" w:eastAsia="方正仿宋_GBK" w:cs="Times New Roman"/>
                <w:sz w:val="24"/>
              </w:rPr>
            </w:pPr>
            <w:r>
              <w:rPr>
                <w:rFonts w:ascii="Times New Roman" w:hAnsi="Times New Roman" w:eastAsia="方正仿宋_GBK" w:cs="Times New Roman"/>
                <w:sz w:val="24"/>
              </w:rPr>
              <w:t>序号</w:t>
            </w:r>
          </w:p>
        </w:tc>
        <w:tc>
          <w:tcPr>
            <w:tcW w:w="2415" w:type="dxa"/>
            <w:vAlign w:val="center"/>
          </w:tcPr>
          <w:p>
            <w:pPr>
              <w:pageBreakBefore w:val="0"/>
              <w:tabs>
                <w:tab w:val="left" w:pos="6300"/>
              </w:tabs>
              <w:kinsoku/>
              <w:topLinePunct w:val="0"/>
              <w:autoSpaceDE/>
              <w:autoSpaceDN/>
              <w:bidi w:val="0"/>
              <w:spacing w:after="0" w:line="570" w:lineRule="exact"/>
              <w:jc w:val="center"/>
              <w:rPr>
                <w:rFonts w:ascii="Times New Roman" w:hAnsi="Times New Roman" w:eastAsia="方正仿宋_GBK" w:cs="Times New Roman"/>
                <w:sz w:val="24"/>
              </w:rPr>
            </w:pPr>
            <w:r>
              <w:rPr>
                <w:rFonts w:ascii="Times New Roman" w:hAnsi="Times New Roman" w:eastAsia="方正仿宋_GBK" w:cs="Times New Roman"/>
                <w:sz w:val="24"/>
              </w:rPr>
              <w:t>文件要求</w:t>
            </w:r>
          </w:p>
        </w:tc>
        <w:tc>
          <w:tcPr>
            <w:tcW w:w="3105" w:type="dxa"/>
            <w:vAlign w:val="center"/>
          </w:tcPr>
          <w:p>
            <w:pPr>
              <w:pageBreakBefore w:val="0"/>
              <w:tabs>
                <w:tab w:val="left" w:pos="6300"/>
              </w:tabs>
              <w:kinsoku/>
              <w:topLinePunct w:val="0"/>
              <w:autoSpaceDE/>
              <w:autoSpaceDN/>
              <w:bidi w:val="0"/>
              <w:spacing w:after="0" w:line="570" w:lineRule="exact"/>
              <w:jc w:val="center"/>
              <w:rPr>
                <w:rFonts w:ascii="Times New Roman" w:hAnsi="Times New Roman" w:eastAsia="方正仿宋_GBK" w:cs="Times New Roman"/>
                <w:sz w:val="24"/>
              </w:rPr>
            </w:pPr>
            <w:r>
              <w:rPr>
                <w:rFonts w:ascii="Times New Roman" w:hAnsi="Times New Roman" w:eastAsia="方正仿宋_GBK" w:cs="Times New Roman"/>
                <w:color w:val="auto"/>
                <w:sz w:val="24"/>
              </w:rPr>
              <w:t>响应文件</w:t>
            </w:r>
          </w:p>
        </w:tc>
        <w:tc>
          <w:tcPr>
            <w:tcW w:w="2131" w:type="dxa"/>
            <w:vAlign w:val="center"/>
          </w:tcPr>
          <w:p>
            <w:pPr>
              <w:pageBreakBefore w:val="0"/>
              <w:tabs>
                <w:tab w:val="left" w:pos="6300"/>
              </w:tabs>
              <w:kinsoku/>
              <w:topLinePunct w:val="0"/>
              <w:autoSpaceDE/>
              <w:autoSpaceDN/>
              <w:bidi w:val="0"/>
              <w:spacing w:after="0" w:line="570" w:lineRule="exact"/>
              <w:jc w:val="center"/>
              <w:rPr>
                <w:rFonts w:ascii="Times New Roman" w:hAnsi="Times New Roman" w:eastAsia="方正仿宋_GBK" w:cs="Times New Roman"/>
                <w:sz w:val="24"/>
              </w:rPr>
            </w:pPr>
            <w:r>
              <w:rPr>
                <w:rFonts w:ascii="Times New Roman" w:hAnsi="Times New Roman" w:eastAsia="方正仿宋_GBK" w:cs="Times New Roman"/>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pageBreakBefore w:val="0"/>
              <w:tabs>
                <w:tab w:val="left" w:pos="6300"/>
              </w:tabs>
              <w:kinsoku/>
              <w:topLinePunct w:val="0"/>
              <w:autoSpaceDE/>
              <w:autoSpaceDN/>
              <w:bidi w:val="0"/>
              <w:spacing w:after="0" w:line="570" w:lineRule="exact"/>
              <w:ind w:firstLine="480" w:firstLineChars="200"/>
              <w:jc w:val="center"/>
              <w:rPr>
                <w:rFonts w:ascii="Times New Roman" w:hAnsi="Times New Roman" w:eastAsia="方正仿宋_GBK" w:cs="Times New Roman"/>
                <w:sz w:val="24"/>
              </w:rPr>
            </w:pPr>
          </w:p>
        </w:tc>
        <w:tc>
          <w:tcPr>
            <w:tcW w:w="2415" w:type="dxa"/>
            <w:vAlign w:val="center"/>
          </w:tcPr>
          <w:p>
            <w:pPr>
              <w:pageBreakBefore w:val="0"/>
              <w:tabs>
                <w:tab w:val="left" w:pos="6300"/>
              </w:tabs>
              <w:kinsoku/>
              <w:topLinePunct w:val="0"/>
              <w:autoSpaceDE/>
              <w:autoSpaceDN/>
              <w:bidi w:val="0"/>
              <w:spacing w:after="0" w:line="570" w:lineRule="exact"/>
              <w:ind w:firstLine="480" w:firstLineChars="200"/>
              <w:jc w:val="center"/>
              <w:rPr>
                <w:rFonts w:ascii="Times New Roman" w:hAnsi="Times New Roman" w:eastAsia="方正仿宋_GBK" w:cs="Times New Roman"/>
                <w:sz w:val="24"/>
              </w:rPr>
            </w:pPr>
          </w:p>
        </w:tc>
        <w:tc>
          <w:tcPr>
            <w:tcW w:w="3105" w:type="dxa"/>
            <w:vAlign w:val="center"/>
          </w:tcPr>
          <w:p>
            <w:pPr>
              <w:pageBreakBefore w:val="0"/>
              <w:tabs>
                <w:tab w:val="left" w:pos="6300"/>
              </w:tabs>
              <w:kinsoku/>
              <w:topLinePunct w:val="0"/>
              <w:autoSpaceDE/>
              <w:autoSpaceDN/>
              <w:bidi w:val="0"/>
              <w:spacing w:after="0" w:line="570" w:lineRule="exact"/>
              <w:ind w:firstLine="480" w:firstLineChars="200"/>
              <w:jc w:val="center"/>
              <w:rPr>
                <w:rFonts w:ascii="Times New Roman" w:hAnsi="Times New Roman" w:eastAsia="方正仿宋_GBK" w:cs="Times New Roman"/>
                <w:sz w:val="24"/>
              </w:rPr>
            </w:pPr>
          </w:p>
        </w:tc>
        <w:tc>
          <w:tcPr>
            <w:tcW w:w="2131" w:type="dxa"/>
            <w:vAlign w:val="center"/>
          </w:tcPr>
          <w:p>
            <w:pPr>
              <w:pageBreakBefore w:val="0"/>
              <w:tabs>
                <w:tab w:val="left" w:pos="6300"/>
              </w:tabs>
              <w:kinsoku/>
              <w:topLinePunct w:val="0"/>
              <w:autoSpaceDE/>
              <w:autoSpaceDN/>
              <w:bidi w:val="0"/>
              <w:spacing w:after="0" w:line="570" w:lineRule="exact"/>
              <w:ind w:firstLine="480" w:firstLineChars="20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pageBreakBefore w:val="0"/>
              <w:tabs>
                <w:tab w:val="left" w:pos="6300"/>
              </w:tabs>
              <w:kinsoku/>
              <w:topLinePunct w:val="0"/>
              <w:autoSpaceDE/>
              <w:autoSpaceDN/>
              <w:bidi w:val="0"/>
              <w:spacing w:after="0" w:line="570" w:lineRule="exact"/>
              <w:ind w:firstLine="480" w:firstLineChars="200"/>
              <w:jc w:val="center"/>
              <w:rPr>
                <w:rFonts w:ascii="Times New Roman" w:hAnsi="Times New Roman" w:eastAsia="方正仿宋_GBK" w:cs="Times New Roman"/>
                <w:sz w:val="24"/>
              </w:rPr>
            </w:pPr>
          </w:p>
        </w:tc>
        <w:tc>
          <w:tcPr>
            <w:tcW w:w="2415" w:type="dxa"/>
            <w:vAlign w:val="center"/>
          </w:tcPr>
          <w:p>
            <w:pPr>
              <w:pageBreakBefore w:val="0"/>
              <w:tabs>
                <w:tab w:val="left" w:pos="6300"/>
              </w:tabs>
              <w:kinsoku/>
              <w:topLinePunct w:val="0"/>
              <w:autoSpaceDE/>
              <w:autoSpaceDN/>
              <w:bidi w:val="0"/>
              <w:spacing w:after="0" w:line="570" w:lineRule="exact"/>
              <w:ind w:firstLine="480" w:firstLineChars="200"/>
              <w:jc w:val="center"/>
              <w:rPr>
                <w:rFonts w:ascii="Times New Roman" w:hAnsi="Times New Roman" w:eastAsia="方正仿宋_GBK" w:cs="Times New Roman"/>
                <w:sz w:val="24"/>
              </w:rPr>
            </w:pPr>
          </w:p>
        </w:tc>
        <w:tc>
          <w:tcPr>
            <w:tcW w:w="3105" w:type="dxa"/>
            <w:vAlign w:val="center"/>
          </w:tcPr>
          <w:p>
            <w:pPr>
              <w:pageBreakBefore w:val="0"/>
              <w:tabs>
                <w:tab w:val="left" w:pos="6300"/>
              </w:tabs>
              <w:kinsoku/>
              <w:topLinePunct w:val="0"/>
              <w:autoSpaceDE/>
              <w:autoSpaceDN/>
              <w:bidi w:val="0"/>
              <w:spacing w:after="0" w:line="570" w:lineRule="exact"/>
              <w:ind w:firstLine="480" w:firstLineChars="200"/>
              <w:jc w:val="center"/>
              <w:rPr>
                <w:rFonts w:ascii="Times New Roman" w:hAnsi="Times New Roman" w:eastAsia="方正仿宋_GBK" w:cs="Times New Roman"/>
                <w:sz w:val="24"/>
              </w:rPr>
            </w:pPr>
          </w:p>
        </w:tc>
        <w:tc>
          <w:tcPr>
            <w:tcW w:w="2131" w:type="dxa"/>
            <w:vAlign w:val="center"/>
          </w:tcPr>
          <w:p>
            <w:pPr>
              <w:pageBreakBefore w:val="0"/>
              <w:tabs>
                <w:tab w:val="left" w:pos="6300"/>
              </w:tabs>
              <w:kinsoku/>
              <w:topLinePunct w:val="0"/>
              <w:autoSpaceDE/>
              <w:autoSpaceDN/>
              <w:bidi w:val="0"/>
              <w:spacing w:after="0" w:line="570" w:lineRule="exact"/>
              <w:ind w:firstLine="480" w:firstLineChars="200"/>
              <w:jc w:val="center"/>
              <w:rPr>
                <w:rFonts w:ascii="Times New Roman" w:hAnsi="Times New Roman" w:eastAsia="方正仿宋_GBK" w:cs="Times New Roman"/>
                <w:sz w:val="24"/>
              </w:rPr>
            </w:pPr>
          </w:p>
        </w:tc>
      </w:tr>
    </w:tbl>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注意：竞标人必须据实填写，不得虚假响应，虚假响应的，其响应文件无效并按规定追究其相关责任。</w:t>
      </w: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 </w:t>
      </w: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color w:val="333333"/>
          <w:kern w:val="0"/>
          <w:sz w:val="24"/>
        </w:rPr>
        <w:t>投标人</w:t>
      </w:r>
      <w:r>
        <w:rPr>
          <w:rFonts w:ascii="Times New Roman" w:hAnsi="Times New Roman" w:eastAsia="方正仿宋_GBK" w:cs="Times New Roman"/>
          <w:sz w:val="24"/>
        </w:rPr>
        <w:t>名称（加盖公章）：XXX</w:t>
      </w: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法定代表人或单位负责人或授权代表（签字或盖章）：XXX</w:t>
      </w: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日 期：XXX年XXX月XXX日</w:t>
      </w:r>
    </w:p>
    <w:p>
      <w:pPr>
        <w:pageBreakBefore w:val="0"/>
        <w:kinsoku/>
        <w:topLinePunct w:val="0"/>
        <w:autoSpaceDE/>
        <w:autoSpaceDN/>
        <w:bidi w:val="0"/>
        <w:spacing w:after="0" w:line="570" w:lineRule="exact"/>
        <w:ind w:firstLine="643" w:firstLineChars="200"/>
        <w:jc w:val="center"/>
        <w:rPr>
          <w:rFonts w:ascii="Times New Roman" w:hAnsi="Times New Roman" w:eastAsia="方正仿宋_GBK" w:cs="Times New Roman"/>
          <w:b/>
          <w:bCs/>
          <w:sz w:val="32"/>
          <w:szCs w:val="32"/>
        </w:rPr>
      </w:pPr>
    </w:p>
    <w:p>
      <w:pPr>
        <w:pStyle w:val="3"/>
        <w:pageBreakBefore w:val="0"/>
        <w:kinsoku/>
        <w:topLinePunct w:val="0"/>
        <w:autoSpaceDE/>
        <w:autoSpaceDN/>
        <w:bidi w:val="0"/>
        <w:spacing w:after="0" w:line="570" w:lineRule="exact"/>
        <w:ind w:firstLine="643" w:firstLineChars="200"/>
        <w:rPr>
          <w:rFonts w:eastAsia="方正仿宋_GBK"/>
          <w:b/>
          <w:bCs/>
          <w:sz w:val="32"/>
          <w:szCs w:val="32"/>
        </w:rPr>
      </w:pPr>
    </w:p>
    <w:p>
      <w:pPr>
        <w:rPr>
          <w:rFonts w:eastAsia="方正仿宋_GBK"/>
          <w:b/>
          <w:bCs/>
          <w:sz w:val="32"/>
          <w:szCs w:val="32"/>
        </w:rPr>
      </w:pPr>
    </w:p>
    <w:p>
      <w:pPr>
        <w:pStyle w:val="3"/>
        <w:rPr>
          <w:rFonts w:eastAsia="方正仿宋_GBK"/>
          <w:b/>
          <w:bCs/>
          <w:sz w:val="32"/>
          <w:szCs w:val="32"/>
        </w:rPr>
      </w:pPr>
    </w:p>
    <w:p>
      <w:pPr>
        <w:rPr>
          <w:rFonts w:eastAsia="方正仿宋_GBK"/>
          <w:b/>
          <w:bCs/>
          <w:sz w:val="32"/>
          <w:szCs w:val="32"/>
        </w:rPr>
      </w:pPr>
    </w:p>
    <w:p>
      <w:pPr>
        <w:pStyle w:val="3"/>
        <w:rPr>
          <w:rFonts w:eastAsia="方正仿宋_GBK"/>
          <w:b/>
          <w:bCs/>
          <w:sz w:val="32"/>
          <w:szCs w:val="32"/>
        </w:rPr>
      </w:pPr>
    </w:p>
    <w:p/>
    <w:p>
      <w:pPr>
        <w:pageBreakBefore w:val="0"/>
        <w:kinsoku/>
        <w:topLinePunct w:val="0"/>
        <w:autoSpaceDE/>
        <w:autoSpaceDN/>
        <w:bidi w:val="0"/>
        <w:spacing w:after="0" w:line="570" w:lineRule="exact"/>
        <w:ind w:firstLine="643" w:firstLineChars="200"/>
        <w:rPr>
          <w:rFonts w:ascii="Times New Roman" w:hAnsi="Times New Roman" w:eastAsia="方正仿宋_GBK" w:cs="Times New Roman"/>
          <w:b/>
          <w:bCs/>
          <w:sz w:val="32"/>
          <w:szCs w:val="32"/>
        </w:rPr>
      </w:pPr>
    </w:p>
    <w:p>
      <w:pPr>
        <w:pStyle w:val="3"/>
      </w:pPr>
    </w:p>
    <w:p>
      <w:pPr>
        <w:pStyle w:val="3"/>
        <w:pageBreakBefore w:val="0"/>
        <w:kinsoku/>
        <w:topLinePunct w:val="0"/>
        <w:autoSpaceDE/>
        <w:autoSpaceDN/>
        <w:bidi w:val="0"/>
        <w:spacing w:after="0" w:line="570" w:lineRule="exact"/>
        <w:ind w:firstLine="643" w:firstLineChars="200"/>
        <w:rPr>
          <w:rFonts w:eastAsia="方正仿宋_GBK"/>
          <w:b/>
          <w:bCs/>
          <w:sz w:val="32"/>
          <w:szCs w:val="32"/>
        </w:rPr>
      </w:pPr>
    </w:p>
    <w:p>
      <w:pPr>
        <w:pageBreakBefore w:val="0"/>
        <w:kinsoku/>
        <w:topLinePunct w:val="0"/>
        <w:autoSpaceDE/>
        <w:autoSpaceDN/>
        <w:bidi w:val="0"/>
        <w:spacing w:after="0" w:line="570" w:lineRule="exact"/>
        <w:ind w:firstLine="643" w:firstLineChars="200"/>
        <w:rPr>
          <w:rFonts w:ascii="Times New Roman" w:hAnsi="Times New Roman" w:eastAsia="方正仿宋_GBK" w:cs="Times New Roman"/>
          <w:b/>
          <w:bCs/>
          <w:sz w:val="32"/>
          <w:szCs w:val="32"/>
        </w:rPr>
      </w:pPr>
      <w:bookmarkStart w:id="0" w:name="_Toc174767233"/>
      <w:bookmarkStart w:id="1" w:name="_Toc237343703"/>
      <w:bookmarkStart w:id="2" w:name="_Toc95295163"/>
    </w:p>
    <w:p>
      <w:pPr>
        <w:pageBreakBefore w:val="0"/>
        <w:widowControl/>
        <w:shd w:val="clear" w:color="auto" w:fill="FFFFFF"/>
        <w:kinsoku/>
        <w:wordWrap w:val="0"/>
        <w:topLinePunct w:val="0"/>
        <w:autoSpaceDE/>
        <w:autoSpaceDN/>
        <w:bidi w:val="0"/>
        <w:spacing w:after="0" w:line="570" w:lineRule="exact"/>
        <w:jc w:val="center"/>
        <w:rPr>
          <w:rFonts w:ascii="Times New Roman" w:hAnsi="Times New Roman" w:eastAsia="方正小标宋_GBK" w:cs="Times New Roman"/>
          <w:color w:val="333333"/>
          <w:kern w:val="0"/>
          <w:sz w:val="32"/>
          <w:szCs w:val="32"/>
        </w:rPr>
      </w:pPr>
    </w:p>
    <w:p>
      <w:pPr>
        <w:pageBreakBefore w:val="0"/>
        <w:widowControl/>
        <w:shd w:val="clear" w:color="auto" w:fill="FFFFFF"/>
        <w:kinsoku/>
        <w:wordWrap w:val="0"/>
        <w:topLinePunct w:val="0"/>
        <w:autoSpaceDE/>
        <w:autoSpaceDN/>
        <w:bidi w:val="0"/>
        <w:spacing w:after="0" w:line="570" w:lineRule="exact"/>
        <w:jc w:val="center"/>
        <w:rPr>
          <w:rFonts w:ascii="Times New Roman" w:hAnsi="Times New Roman" w:eastAsia="方正小标宋_GBK" w:cs="Times New Roman"/>
          <w:color w:val="333333"/>
          <w:kern w:val="0"/>
          <w:sz w:val="32"/>
          <w:szCs w:val="32"/>
        </w:rPr>
      </w:pPr>
      <w:r>
        <w:rPr>
          <w:rFonts w:ascii="Times New Roman" w:hAnsi="Times New Roman" w:eastAsia="方正小标宋_GBK" w:cs="Times New Roman"/>
          <w:color w:val="333333"/>
          <w:kern w:val="0"/>
          <w:sz w:val="32"/>
          <w:szCs w:val="32"/>
        </w:rPr>
        <w:t>法定代表人身份授权书</w:t>
      </w:r>
    </w:p>
    <w:p>
      <w:pPr>
        <w:pageBreakBefore w:val="0"/>
        <w:kinsoku/>
        <w:topLinePunct w:val="0"/>
        <w:autoSpaceDE/>
        <w:autoSpaceDN/>
        <w:bidi w:val="0"/>
        <w:spacing w:after="0" w:line="570" w:lineRule="exact"/>
        <w:ind w:firstLine="562" w:firstLineChars="200"/>
        <w:rPr>
          <w:rFonts w:ascii="Times New Roman" w:hAnsi="Times New Roman" w:eastAsia="方正仿宋_GBK" w:cs="Times New Roman"/>
          <w:b/>
          <w:bCs/>
          <w:sz w:val="28"/>
          <w:szCs w:val="28"/>
        </w:rPr>
      </w:pP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color w:val="000000"/>
          <w:sz w:val="24"/>
          <w:lang w:val="zh-CN"/>
        </w:rPr>
      </w:pPr>
      <w:r>
        <w:rPr>
          <w:rFonts w:ascii="Times New Roman" w:hAnsi="Times New Roman" w:eastAsia="方正仿宋_GBK" w:cs="Times New Roman"/>
          <w:color w:val="000000"/>
          <w:sz w:val="24"/>
          <w:u w:val="single"/>
          <w:lang w:val="zh-CN"/>
        </w:rPr>
        <w:t xml:space="preserve">          </w:t>
      </w:r>
      <w:r>
        <w:rPr>
          <w:rFonts w:ascii="Times New Roman" w:hAnsi="Times New Roman" w:eastAsia="方正仿宋_GBK" w:cs="Times New Roman"/>
          <w:color w:val="000000"/>
          <w:sz w:val="24"/>
          <w:lang w:val="zh-CN"/>
        </w:rPr>
        <w:t>（采购单位名称）：</w:t>
      </w:r>
    </w:p>
    <w:p>
      <w:pPr>
        <w:pageBreakBefore w:val="0"/>
        <w:tabs>
          <w:tab w:val="left" w:pos="720"/>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color w:val="000000"/>
          <w:sz w:val="24"/>
          <w:lang w:val="zh-CN"/>
        </w:rPr>
        <w:t xml:space="preserve">   本授权声明：</w:t>
      </w:r>
      <w:r>
        <w:rPr>
          <w:rFonts w:ascii="Times New Roman" w:hAnsi="Times New Roman" w:eastAsia="方正仿宋_GBK" w:cs="Times New Roman"/>
          <w:color w:val="000000"/>
          <w:sz w:val="24"/>
          <w:u w:val="single"/>
          <w:lang w:val="zh-CN"/>
        </w:rPr>
        <w:t xml:space="preserve">             </w:t>
      </w:r>
      <w:r>
        <w:rPr>
          <w:rFonts w:ascii="Times New Roman" w:hAnsi="Times New Roman" w:eastAsia="方正仿宋_GBK" w:cs="Times New Roman"/>
          <w:color w:val="000000"/>
          <w:sz w:val="24"/>
          <w:lang w:val="zh-CN"/>
        </w:rPr>
        <w:t>（投标人名称）</w:t>
      </w:r>
      <w:r>
        <w:rPr>
          <w:rFonts w:ascii="Times New Roman" w:hAnsi="Times New Roman" w:eastAsia="方正仿宋_GBK" w:cs="Times New Roman"/>
          <w:color w:val="000000"/>
          <w:sz w:val="24"/>
          <w:u w:val="single"/>
          <w:lang w:val="zh-CN"/>
        </w:rPr>
        <w:t xml:space="preserve">           </w:t>
      </w:r>
      <w:r>
        <w:rPr>
          <w:rFonts w:ascii="Times New Roman" w:hAnsi="Times New Roman" w:eastAsia="方正仿宋_GBK" w:cs="Times New Roman"/>
          <w:color w:val="000000"/>
          <w:sz w:val="24"/>
          <w:lang w:val="zh-CN"/>
        </w:rPr>
        <w:t>（法定代表人姓名、职务）授权</w:t>
      </w:r>
      <w:r>
        <w:rPr>
          <w:rFonts w:ascii="Times New Roman" w:hAnsi="Times New Roman" w:eastAsia="方正仿宋_GBK" w:cs="Times New Roman"/>
          <w:color w:val="000000"/>
          <w:sz w:val="24"/>
          <w:u w:val="single"/>
          <w:lang w:val="zh-CN"/>
        </w:rPr>
        <w:t xml:space="preserve">                          </w:t>
      </w:r>
      <w:r>
        <w:rPr>
          <w:rFonts w:ascii="Times New Roman" w:hAnsi="Times New Roman" w:eastAsia="方正仿宋_GBK" w:cs="Times New Roman"/>
          <w:color w:val="000000"/>
          <w:sz w:val="24"/>
          <w:lang w:val="zh-CN"/>
        </w:rPr>
        <w:t>（被授权人姓名、职务）为我方</w:t>
      </w:r>
      <w:r>
        <w:rPr>
          <w:rFonts w:ascii="Times New Roman" w:hAnsi="Times New Roman" w:eastAsia="方正仿宋_GBK" w:cs="Times New Roman"/>
          <w:color w:val="000000"/>
          <w:sz w:val="24"/>
          <w:u w:val="single"/>
          <w:lang w:val="zh-CN"/>
        </w:rPr>
        <w:t xml:space="preserve"> “                                          ”</w:t>
      </w:r>
      <w:r>
        <w:rPr>
          <w:rFonts w:ascii="Times New Roman" w:hAnsi="Times New Roman" w:eastAsia="方正仿宋_GBK" w:cs="Times New Roman"/>
          <w:color w:val="000000"/>
          <w:sz w:val="24"/>
          <w:lang w:val="zh-CN"/>
        </w:rPr>
        <w:t>项目投标活动的合法代表，以我方名义全权处理该项目有关投标、签订合同以及执行合同等一切事宜。</w:t>
      </w: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特此声明。</w:t>
      </w: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法定代表人签字：</w:t>
      </w: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授权代表签字：</w:t>
      </w:r>
    </w:p>
    <w:p>
      <w:pPr>
        <w:pageBreakBefore w:val="0"/>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投标人名称：</w:t>
      </w:r>
      <w:r>
        <w:rPr>
          <w:rFonts w:ascii="Times New Roman" w:hAnsi="Times New Roman" w:eastAsia="方正仿宋_GBK" w:cs="Times New Roman"/>
          <w:sz w:val="24"/>
        </w:rPr>
        <w:tab/>
      </w:r>
      <w:r>
        <w:rPr>
          <w:rFonts w:ascii="Times New Roman" w:hAnsi="Times New Roman" w:eastAsia="方正仿宋_GBK" w:cs="Times New Roman"/>
          <w:sz w:val="24"/>
        </w:rPr>
        <w:tab/>
      </w:r>
      <w:r>
        <w:rPr>
          <w:rFonts w:ascii="Times New Roman" w:hAnsi="Times New Roman" w:eastAsia="方正仿宋_GBK" w:cs="Times New Roman"/>
          <w:sz w:val="24"/>
        </w:rPr>
        <w:tab/>
      </w:r>
      <w:r>
        <w:rPr>
          <w:rFonts w:ascii="Times New Roman" w:hAnsi="Times New Roman" w:eastAsia="方正仿宋_GBK" w:cs="Times New Roman"/>
          <w:sz w:val="24"/>
        </w:rPr>
        <w:tab/>
      </w:r>
      <w:r>
        <w:rPr>
          <w:rFonts w:ascii="Times New Roman" w:hAnsi="Times New Roman" w:eastAsia="方正仿宋_GBK" w:cs="Times New Roman"/>
          <w:sz w:val="24"/>
        </w:rPr>
        <w:tab/>
      </w:r>
      <w:r>
        <w:rPr>
          <w:rFonts w:ascii="Times New Roman" w:hAnsi="Times New Roman" w:eastAsia="方正仿宋_GBK" w:cs="Times New Roman"/>
          <w:sz w:val="24"/>
        </w:rPr>
        <w:t xml:space="preserve">      （加盖公章）</w:t>
      </w:r>
    </w:p>
    <w:p>
      <w:pPr>
        <w:pageBreakBefore w:val="0"/>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日期：</w:t>
      </w:r>
    </w:p>
    <w:p>
      <w:pPr>
        <w:pageBreakBefore w:val="0"/>
        <w:tabs>
          <w:tab w:val="left" w:pos="6300"/>
        </w:tabs>
        <w:kinsoku/>
        <w:topLinePunct w:val="0"/>
        <w:autoSpaceDE/>
        <w:autoSpaceDN/>
        <w:bidi w:val="0"/>
        <w:spacing w:after="0" w:line="57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★说明：上述证明文件附有法定代表人、被授权代表身份证复印件（加盖公章）时才能生效。</w:t>
      </w:r>
      <w:bookmarkEnd w:id="0"/>
      <w:bookmarkEnd w:id="1"/>
      <w:bookmarkEnd w:id="2"/>
    </w:p>
    <w:p>
      <w:pPr>
        <w:pageBreakBefore w:val="0"/>
        <w:widowControl w:val="0"/>
        <w:kinsoku/>
        <w:topLinePunct w:val="0"/>
        <w:autoSpaceDE/>
        <w:autoSpaceDN/>
        <w:bidi w:val="0"/>
        <w:spacing w:after="0" w:line="570" w:lineRule="exact"/>
        <w:ind w:firstLine="560" w:firstLineChars="200"/>
        <w:jc w:val="center"/>
        <w:rPr>
          <w:rFonts w:hint="default" w:ascii="Times New Roman" w:hAnsi="Times New Roman" w:eastAsia="方正小标宋_GBK" w:cs="Times New Roman"/>
          <w:color w:val="000000"/>
          <w:kern w:val="2"/>
          <w:sz w:val="28"/>
          <w:szCs w:val="22"/>
          <w:lang w:val="en-US" w:eastAsia="zh-CN" w:bidi="ar-SA"/>
        </w:rPr>
      </w:pPr>
    </w:p>
    <w:p>
      <w:pPr>
        <w:pStyle w:val="3"/>
        <w:rPr>
          <w:rFonts w:hint="default" w:ascii="Times New Roman" w:hAnsi="Times New Roman" w:eastAsia="方正小标宋_GBK" w:cs="Times New Roman"/>
          <w:color w:val="000000"/>
          <w:kern w:val="2"/>
          <w:sz w:val="28"/>
          <w:szCs w:val="22"/>
          <w:lang w:val="en-US" w:eastAsia="zh-CN" w:bidi="ar-SA"/>
        </w:rPr>
      </w:pPr>
    </w:p>
    <w:p>
      <w:pPr>
        <w:rPr>
          <w:rFonts w:hint="default" w:ascii="Times New Roman" w:hAnsi="Times New Roman" w:eastAsia="方正小标宋_GBK" w:cs="Times New Roman"/>
          <w:color w:val="000000"/>
          <w:kern w:val="2"/>
          <w:sz w:val="28"/>
          <w:szCs w:val="22"/>
          <w:lang w:val="en-US" w:eastAsia="zh-CN" w:bidi="ar-SA"/>
        </w:rPr>
      </w:pPr>
    </w:p>
    <w:p>
      <w:pPr>
        <w:pStyle w:val="3"/>
        <w:rPr>
          <w:rFonts w:hint="default" w:ascii="Times New Roman" w:hAnsi="Times New Roman" w:eastAsia="方正小标宋_GBK" w:cs="Times New Roman"/>
          <w:color w:val="000000"/>
          <w:kern w:val="2"/>
          <w:sz w:val="28"/>
          <w:szCs w:val="22"/>
          <w:lang w:val="en-US" w:eastAsia="zh-CN" w:bidi="ar-SA"/>
        </w:rPr>
      </w:pPr>
    </w:p>
    <w:p>
      <w:pPr>
        <w:rPr>
          <w:rFonts w:hint="default"/>
          <w:lang w:val="en-US" w:eastAsia="zh-CN"/>
        </w:rPr>
      </w:pPr>
    </w:p>
    <w:p>
      <w:pPr>
        <w:pStyle w:val="3"/>
        <w:pageBreakBefore w:val="0"/>
        <w:kinsoku/>
        <w:topLinePunct w:val="0"/>
        <w:autoSpaceDE/>
        <w:autoSpaceDN/>
        <w:bidi w:val="0"/>
        <w:spacing w:after="0" w:line="570" w:lineRule="exact"/>
        <w:ind w:firstLine="560" w:firstLineChars="200"/>
        <w:rPr>
          <w:rFonts w:hint="default" w:ascii="Times New Roman" w:hAnsi="Times New Roman" w:eastAsia="方正小标宋_GBK" w:cs="Times New Roman"/>
          <w:color w:val="000000"/>
          <w:kern w:val="2"/>
          <w:sz w:val="28"/>
          <w:szCs w:val="22"/>
          <w:lang w:val="en-US" w:eastAsia="zh-CN" w:bidi="ar-SA"/>
        </w:rPr>
      </w:pPr>
    </w:p>
    <w:p>
      <w:pPr>
        <w:pageBreakBefore w:val="0"/>
        <w:kinsoku/>
        <w:topLinePunct w:val="0"/>
        <w:autoSpaceDE/>
        <w:autoSpaceDN/>
        <w:bidi w:val="0"/>
        <w:spacing w:after="0" w:line="570" w:lineRule="exact"/>
        <w:rPr>
          <w:rFonts w:hint="default"/>
          <w:lang w:val="en-US" w:eastAsia="zh-CN"/>
        </w:rPr>
      </w:pPr>
    </w:p>
    <w:p>
      <w:pPr>
        <w:pageBreakBefore w:val="0"/>
        <w:widowControl/>
        <w:shd w:val="clear" w:color="auto" w:fill="FFFFFF"/>
        <w:kinsoku/>
        <w:wordWrap w:val="0"/>
        <w:topLinePunct w:val="0"/>
        <w:autoSpaceDE/>
        <w:autoSpaceDN/>
        <w:bidi w:val="0"/>
        <w:spacing w:after="0" w:line="570" w:lineRule="exact"/>
        <w:jc w:val="center"/>
        <w:rPr>
          <w:rFonts w:hint="default" w:ascii="Times New Roman" w:hAnsi="Times New Roman" w:eastAsia="方正小标宋_GBK" w:cs="Times New Roman"/>
          <w:color w:val="333333"/>
          <w:kern w:val="0"/>
          <w:sz w:val="32"/>
          <w:szCs w:val="32"/>
          <w:lang w:val="en-US" w:eastAsia="zh-CN"/>
        </w:rPr>
      </w:pPr>
    </w:p>
    <w:p>
      <w:pPr>
        <w:pageBreakBefore w:val="0"/>
        <w:widowControl/>
        <w:shd w:val="clear" w:color="auto" w:fill="FFFFFF"/>
        <w:kinsoku/>
        <w:wordWrap w:val="0"/>
        <w:topLinePunct w:val="0"/>
        <w:autoSpaceDE/>
        <w:autoSpaceDN/>
        <w:bidi w:val="0"/>
        <w:spacing w:after="0" w:line="570" w:lineRule="exact"/>
        <w:jc w:val="center"/>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无围标、串标行为承诺书</w:t>
      </w:r>
    </w:p>
    <w:p>
      <w:pPr>
        <w:pStyle w:val="3"/>
        <w:rPr>
          <w:rFonts w:hint="default"/>
          <w:lang w:val="en-US" w:eastAsia="zh-CN"/>
        </w:rPr>
      </w:pP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1.不同供应商的投标文件由同一单位或者个人编制；</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2.不同供应商委托同一单位或者个人办理投标事宜；</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3.不同供应商的投标文件载明的项目管理成员或者联系人员为同一人；</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4.不同供应商的投标文件异常一致或者投标报价呈规律性差异；</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5.不同供应商的投标文件相互混装；</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6.不同供应商的投标保证金从同一单位或者个人的账户转出；</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7.不同供应商的董事、监事、高管、单位负责人为同一人或者存在控股、管理关系的不同单位参加同一采购项目；</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8.供应商之间事先约定由某一特定供应商中标、成交；</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9.供应商之间商定部分供应商放弃参加采购活动或者放弃中标、成交；</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10.法律法规界定的其他围标串标行为。</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投标人法人代表或委托代理人（承诺人） ：</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 xml:space="preserve">投标人：（公章）  </w:t>
      </w:r>
    </w:p>
    <w:p>
      <w:pPr>
        <w:pageBreakBefore w:val="0"/>
        <w:widowControl/>
        <w:shd w:val="clear" w:color="auto" w:fill="FFFFFF"/>
        <w:kinsoku/>
        <w:wordWrap w:val="0"/>
        <w:topLinePunct w:val="0"/>
        <w:autoSpaceDE/>
        <w:autoSpaceDN/>
        <w:bidi w:val="0"/>
        <w:spacing w:after="0" w:line="570" w:lineRule="exact"/>
        <w:ind w:firstLine="480" w:firstLineChars="200"/>
        <w:jc w:val="left"/>
        <w:rPr>
          <w:rFonts w:ascii="Times New Roman" w:hAnsi="Times New Roman" w:eastAsia="宋体" w:cs="Times New Roman"/>
          <w:b/>
          <w:bCs/>
          <w:color w:val="333333"/>
          <w:kern w:val="0"/>
          <w:sz w:val="28"/>
          <w:szCs w:val="28"/>
        </w:rPr>
      </w:pPr>
      <w:r>
        <w:rPr>
          <w:rFonts w:hint="default" w:ascii="Times New Roman" w:hAnsi="Times New Roman" w:eastAsia="方正仿宋_GBK" w:cs="Times New Roman"/>
          <w:color w:val="333333"/>
          <w:kern w:val="0"/>
          <w:sz w:val="24"/>
          <w:szCs w:val="24"/>
        </w:rPr>
        <w:t>日期：   年    月    日</w:t>
      </w:r>
    </w:p>
    <w:p>
      <w:pPr>
        <w:pageBreakBefore w:val="0"/>
        <w:widowControl/>
        <w:shd w:val="clear" w:color="auto" w:fill="FFFFFF"/>
        <w:kinsoku/>
        <w:wordWrap w:val="0"/>
        <w:topLinePunct w:val="0"/>
        <w:autoSpaceDE/>
        <w:autoSpaceDN/>
        <w:bidi w:val="0"/>
        <w:spacing w:after="0" w:line="570" w:lineRule="exact"/>
        <w:jc w:val="both"/>
        <w:rPr>
          <w:rFonts w:hint="default" w:ascii="Times New Roman" w:hAnsi="Times New Roman" w:eastAsia="方正小标宋_GBK" w:cs="Times New Roman"/>
          <w:color w:val="333333"/>
          <w:kern w:val="0"/>
          <w:sz w:val="32"/>
          <w:szCs w:val="32"/>
          <w:lang w:val="en-US" w:eastAsia="zh-CN"/>
        </w:rPr>
      </w:pPr>
    </w:p>
    <w:p>
      <w:pPr>
        <w:pageBreakBefore w:val="0"/>
        <w:widowControl/>
        <w:shd w:val="clear" w:color="auto" w:fill="FFFFFF"/>
        <w:kinsoku/>
        <w:wordWrap w:val="0"/>
        <w:topLinePunct w:val="0"/>
        <w:autoSpaceDE/>
        <w:autoSpaceDN/>
        <w:bidi w:val="0"/>
        <w:spacing w:after="0" w:line="570" w:lineRule="exact"/>
        <w:ind w:firstLine="640" w:firstLineChars="200"/>
        <w:jc w:val="center"/>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评分细则</w:t>
      </w:r>
    </w:p>
    <w:p>
      <w:pPr>
        <w:pStyle w:val="3"/>
        <w:rPr>
          <w:rFonts w:hint="default"/>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13"/>
        <w:gridCol w:w="588"/>
        <w:gridCol w:w="502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blHeader/>
        </w:trPr>
        <w:tc>
          <w:tcPr>
            <w:tcW w:w="559"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both"/>
              <w:textAlignment w:val="auto"/>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lang w:val="en-US" w:eastAsia="zh-CN"/>
              </w:rPr>
              <w:t>序号</w:t>
            </w:r>
          </w:p>
        </w:tc>
        <w:tc>
          <w:tcPr>
            <w:tcW w:w="813"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评审项目</w:t>
            </w:r>
          </w:p>
        </w:tc>
        <w:tc>
          <w:tcPr>
            <w:tcW w:w="588"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分值</w:t>
            </w:r>
          </w:p>
        </w:tc>
        <w:tc>
          <w:tcPr>
            <w:tcW w:w="5026"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宋体" w:cs="Times New Roman"/>
                <w:sz w:val="16"/>
                <w:szCs w:val="18"/>
              </w:rPr>
            </w:pPr>
            <w:r>
              <w:rPr>
                <w:rFonts w:hint="default" w:ascii="Times New Roman" w:hAnsi="Times New Roman" w:eastAsia="方正仿宋_GBK" w:cs="Times New Roman"/>
                <w:kern w:val="0"/>
                <w:szCs w:val="21"/>
              </w:rPr>
              <w:t>评分标准</w:t>
            </w:r>
            <w:r>
              <w:rPr>
                <w:rFonts w:hint="default" w:ascii="Times New Roman" w:hAnsi="Times New Roman" w:eastAsia="方正仿宋_GBK" w:cs="Times New Roman"/>
                <w:sz w:val="20"/>
                <w:szCs w:val="21"/>
              </w:rPr>
              <w:t>（四舍五入后保留小数点后两位）</w:t>
            </w:r>
          </w:p>
        </w:tc>
        <w:tc>
          <w:tcPr>
            <w:tcW w:w="1536" w:type="dxa"/>
            <w:vAlign w:val="center"/>
          </w:tcPr>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559"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813"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highlight w:val="none"/>
              </w:rPr>
              <w:t>报价</w:t>
            </w:r>
          </w:p>
        </w:tc>
        <w:tc>
          <w:tcPr>
            <w:tcW w:w="588"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方正仿宋_GBK" w:cs="Times New Roman"/>
                <w:kern w:val="0"/>
                <w:szCs w:val="21"/>
                <w:highlight w:val="yellow"/>
                <w:lang w:val="en-US" w:eastAsia="zh-CN"/>
              </w:rPr>
            </w:pPr>
            <w:r>
              <w:rPr>
                <w:rFonts w:hint="eastAsia" w:ascii="Times New Roman" w:hAnsi="Times New Roman" w:eastAsia="方正仿宋_GBK" w:cs="Times New Roman"/>
                <w:color w:val="auto"/>
                <w:kern w:val="0"/>
                <w:szCs w:val="21"/>
                <w:highlight w:val="none"/>
                <w:lang w:val="en-US" w:eastAsia="zh-CN"/>
              </w:rPr>
              <w:t>40</w:t>
            </w:r>
          </w:p>
        </w:tc>
        <w:tc>
          <w:tcPr>
            <w:tcW w:w="5026" w:type="dxa"/>
            <w:vAlign w:val="center"/>
          </w:tcPr>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lang w:val="en-US" w:eastAsia="zh-CN"/>
              </w:rPr>
              <w:t>满足招标文件要求且投标报价最低的有效投标报价为评标基准价，其投标人的报价分为</w:t>
            </w:r>
            <w:r>
              <w:rPr>
                <w:rFonts w:hint="eastAsia" w:ascii="Times New Roman" w:hAnsi="Times New Roman" w:eastAsia="方正仿宋_GBK" w:cs="Times New Roman"/>
                <w:kern w:val="0"/>
                <w:szCs w:val="21"/>
                <w:lang w:val="en-US" w:eastAsia="zh-CN"/>
              </w:rPr>
              <w:t>40</w:t>
            </w:r>
            <w:r>
              <w:rPr>
                <w:rFonts w:hint="default" w:ascii="Times New Roman" w:hAnsi="Times New Roman" w:eastAsia="方正仿宋_GBK" w:cs="Times New Roman"/>
                <w:kern w:val="0"/>
                <w:szCs w:val="21"/>
                <w:lang w:val="en-US" w:eastAsia="zh-CN"/>
              </w:rPr>
              <w:t>分。其他投标人的报价分按以下公式计算：报价得分=(评标基准价／投标报</w:t>
            </w:r>
            <w:r>
              <w:rPr>
                <w:rFonts w:hint="default" w:ascii="Times New Roman" w:hAnsi="Times New Roman" w:eastAsia="方正仿宋_GBK" w:cs="Times New Roman"/>
                <w:color w:val="auto"/>
                <w:kern w:val="0"/>
                <w:szCs w:val="21"/>
                <w:lang w:val="en-US" w:eastAsia="zh-CN"/>
              </w:rPr>
              <w:t>价)×</w:t>
            </w:r>
            <w:r>
              <w:rPr>
                <w:rFonts w:hint="eastAsia" w:ascii="Times New Roman" w:hAnsi="Times New Roman" w:eastAsia="方正仿宋_GBK" w:cs="Times New Roman"/>
                <w:color w:val="auto"/>
                <w:kern w:val="0"/>
                <w:szCs w:val="21"/>
                <w:lang w:val="en-US" w:eastAsia="zh-CN"/>
              </w:rPr>
              <w:t>40</w:t>
            </w:r>
            <w:r>
              <w:rPr>
                <w:rFonts w:hint="default" w:ascii="Times New Roman" w:hAnsi="Times New Roman" w:eastAsia="方正仿宋_GBK" w:cs="Times New Roman"/>
                <w:color w:val="auto"/>
                <w:kern w:val="0"/>
                <w:szCs w:val="21"/>
                <w:lang w:val="en-US" w:eastAsia="zh-CN"/>
              </w:rPr>
              <w:t>。</w:t>
            </w:r>
          </w:p>
        </w:tc>
        <w:tc>
          <w:tcPr>
            <w:tcW w:w="1536"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0" w:hRule="atLeast"/>
        </w:trPr>
        <w:tc>
          <w:tcPr>
            <w:tcW w:w="559"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2</w:t>
            </w:r>
          </w:p>
        </w:tc>
        <w:tc>
          <w:tcPr>
            <w:tcW w:w="813"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eastAsia" w:ascii="Times New Roman" w:hAnsi="Times New Roman" w:cs="Times New Roman" w:eastAsiaTheme="minorEastAsia"/>
                <w:kern w:val="0"/>
                <w:szCs w:val="21"/>
                <w:lang w:val="en-US" w:eastAsia="zh-CN"/>
              </w:rPr>
            </w:pPr>
            <w:r>
              <w:rPr>
                <w:rFonts w:hint="eastAsia" w:ascii="Times New Roman" w:hAnsi="Times New Roman" w:eastAsia="方正仿宋_GBK" w:cs="Times New Roman"/>
                <w:kern w:val="0"/>
                <w:szCs w:val="21"/>
                <w:lang w:val="en-US" w:eastAsia="zh-CN"/>
              </w:rPr>
              <w:t>审计实施方案</w:t>
            </w:r>
          </w:p>
        </w:tc>
        <w:tc>
          <w:tcPr>
            <w:tcW w:w="588"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both"/>
              <w:textAlignment w:val="auto"/>
              <w:rPr>
                <w:rFonts w:hint="default" w:ascii="Times New Roman" w:hAnsi="Times New Roman" w:eastAsia="方正仿宋_GBK" w:cs="Times New Roman"/>
                <w:kern w:val="0"/>
                <w:szCs w:val="21"/>
                <w:lang w:val="en-US"/>
              </w:rPr>
            </w:pPr>
            <w:r>
              <w:rPr>
                <w:rFonts w:hint="eastAsia" w:ascii="Times New Roman" w:hAnsi="Times New Roman" w:eastAsia="方正仿宋_GBK" w:cs="Times New Roman"/>
                <w:kern w:val="0"/>
                <w:szCs w:val="21"/>
                <w:lang w:val="en-US" w:eastAsia="zh-CN"/>
              </w:rPr>
              <w:t>20</w:t>
            </w:r>
          </w:p>
        </w:tc>
        <w:tc>
          <w:tcPr>
            <w:tcW w:w="5026" w:type="dxa"/>
            <w:vAlign w:val="center"/>
          </w:tcPr>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highlight w:val="none"/>
              </w:rPr>
            </w:pPr>
            <w:r>
              <w:rPr>
                <w:rFonts w:hint="default" w:ascii="Times New Roman" w:hAnsi="Times New Roman" w:eastAsia="方正仿宋_GBK" w:cs="Times New Roman"/>
                <w:kern w:val="0"/>
                <w:szCs w:val="21"/>
                <w:highlight w:val="none"/>
              </w:rPr>
              <w:t>在满足实质性要求的前提下根据供应商针对本项目提供的服务方案进行综合评审，包含：</w:t>
            </w:r>
          </w:p>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highlight w:val="none"/>
              </w:rPr>
            </w:pPr>
            <w:r>
              <w:rPr>
                <w:rFonts w:hint="default" w:ascii="Times New Roman" w:hAnsi="Times New Roman" w:eastAsia="方正仿宋_GBK" w:cs="Times New Roman"/>
                <w:kern w:val="0"/>
                <w:szCs w:val="21"/>
                <w:highlight w:val="none"/>
              </w:rPr>
              <w:t>①审计实施的方法和步骤方案；</w:t>
            </w:r>
          </w:p>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highlight w:val="none"/>
              </w:rPr>
            </w:pPr>
            <w:r>
              <w:rPr>
                <w:rFonts w:hint="default" w:ascii="Times New Roman" w:hAnsi="Times New Roman" w:eastAsia="方正仿宋_GBK" w:cs="Times New Roman"/>
                <w:kern w:val="0"/>
                <w:szCs w:val="21"/>
                <w:highlight w:val="none"/>
              </w:rPr>
              <w:t>②审计质量控制方案；</w:t>
            </w:r>
          </w:p>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highlight w:val="none"/>
              </w:rPr>
            </w:pPr>
            <w:r>
              <w:rPr>
                <w:rFonts w:hint="default" w:ascii="Times New Roman" w:hAnsi="Times New Roman" w:eastAsia="方正仿宋_GBK" w:cs="Times New Roman"/>
                <w:kern w:val="0"/>
                <w:szCs w:val="21"/>
                <w:highlight w:val="none"/>
              </w:rPr>
              <w:t>③成果资料的保密措施；</w:t>
            </w:r>
          </w:p>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highlight w:val="none"/>
              </w:rPr>
            </w:pPr>
            <w:r>
              <w:rPr>
                <w:rFonts w:hint="default" w:ascii="Times New Roman" w:hAnsi="Times New Roman" w:eastAsia="方正仿宋_GBK" w:cs="Times New Roman"/>
                <w:kern w:val="0"/>
                <w:szCs w:val="21"/>
                <w:highlight w:val="none"/>
              </w:rPr>
              <w:t>④人员管理制度</w:t>
            </w:r>
          </w:p>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highlight w:val="yellow"/>
              </w:rPr>
            </w:pPr>
            <w:r>
              <w:rPr>
                <w:rFonts w:hint="default" w:ascii="Times New Roman" w:hAnsi="Times New Roman" w:eastAsia="方正仿宋_GBK" w:cs="Times New Roman"/>
                <w:kern w:val="0"/>
                <w:szCs w:val="21"/>
                <w:highlight w:val="none"/>
              </w:rPr>
              <w:t>上述</w:t>
            </w:r>
            <w:r>
              <w:rPr>
                <w:rFonts w:hint="eastAsia" w:ascii="Times New Roman" w:hAnsi="Times New Roman" w:eastAsia="方正仿宋_GBK" w:cs="Times New Roman"/>
                <w:kern w:val="0"/>
                <w:szCs w:val="21"/>
                <w:highlight w:val="none"/>
                <w:lang w:val="en-US" w:eastAsia="zh-CN"/>
              </w:rPr>
              <w:t>4</w:t>
            </w:r>
            <w:r>
              <w:rPr>
                <w:rFonts w:hint="default" w:ascii="Times New Roman" w:hAnsi="Times New Roman" w:eastAsia="方正仿宋_GBK" w:cs="Times New Roman"/>
                <w:kern w:val="0"/>
                <w:szCs w:val="21"/>
                <w:highlight w:val="none"/>
              </w:rPr>
              <w:t>项内容齐全且无缺陷得</w:t>
            </w:r>
            <w:r>
              <w:rPr>
                <w:rFonts w:hint="eastAsia" w:ascii="Times New Roman" w:hAnsi="Times New Roman" w:eastAsia="方正仿宋_GBK" w:cs="Times New Roman"/>
                <w:kern w:val="0"/>
                <w:szCs w:val="21"/>
                <w:highlight w:val="none"/>
                <w:lang w:val="en-US" w:eastAsia="zh-CN"/>
              </w:rPr>
              <w:t>20</w:t>
            </w:r>
            <w:r>
              <w:rPr>
                <w:rFonts w:hint="default" w:ascii="Times New Roman" w:hAnsi="Times New Roman" w:eastAsia="方正仿宋_GBK" w:cs="Times New Roman"/>
                <w:kern w:val="0"/>
                <w:szCs w:val="21"/>
                <w:highlight w:val="none"/>
              </w:rPr>
              <w:t>分，每缺少一项内容扣</w:t>
            </w:r>
            <w:r>
              <w:rPr>
                <w:rFonts w:hint="eastAsia" w:ascii="Times New Roman" w:hAnsi="Times New Roman" w:eastAsia="方正仿宋_GBK" w:cs="Times New Roman"/>
                <w:kern w:val="0"/>
                <w:szCs w:val="21"/>
                <w:highlight w:val="none"/>
                <w:lang w:val="en-US" w:eastAsia="zh-CN"/>
              </w:rPr>
              <w:t>5</w:t>
            </w:r>
            <w:r>
              <w:rPr>
                <w:rFonts w:hint="default" w:ascii="Times New Roman" w:hAnsi="Times New Roman" w:eastAsia="方正仿宋_GBK" w:cs="Times New Roman"/>
                <w:kern w:val="0"/>
                <w:szCs w:val="21"/>
                <w:highlight w:val="none"/>
              </w:rPr>
              <w:t>分，扣完为止；单项内容每存在一处缺陷（缺陷是指:与实际情况不符、夸大不合理、不具备可操作性、前后矛盾、不符合实际需求等任意一种情形）扣</w:t>
            </w:r>
            <w:r>
              <w:rPr>
                <w:rFonts w:hint="default" w:ascii="Times New Roman" w:hAnsi="Times New Roman" w:eastAsia="方正仿宋_GBK" w:cs="Times New Roman"/>
                <w:kern w:val="0"/>
                <w:szCs w:val="21"/>
                <w:highlight w:val="none"/>
                <w:lang w:val="en-US" w:eastAsia="zh-CN"/>
              </w:rPr>
              <w:t>3</w:t>
            </w:r>
            <w:r>
              <w:rPr>
                <w:rFonts w:hint="default" w:ascii="Times New Roman" w:hAnsi="Times New Roman" w:eastAsia="方正仿宋_GBK" w:cs="Times New Roman"/>
                <w:kern w:val="0"/>
                <w:szCs w:val="21"/>
                <w:highlight w:val="none"/>
              </w:rPr>
              <w:t>分，单项内容分扣完为止。</w:t>
            </w:r>
          </w:p>
        </w:tc>
        <w:tc>
          <w:tcPr>
            <w:tcW w:w="1536"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559"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eastAsia" w:ascii="Times New Roman" w:hAnsi="Times New Roman" w:eastAsia="方正仿宋_GBK" w:cs="Times New Roman"/>
                <w:kern w:val="0"/>
                <w:szCs w:val="21"/>
                <w:lang w:eastAsia="zh-CN"/>
              </w:rPr>
            </w:pPr>
            <w:r>
              <w:rPr>
                <w:rFonts w:hint="eastAsia" w:ascii="Times New Roman" w:hAnsi="Times New Roman" w:eastAsia="方正仿宋_GBK" w:cs="Times New Roman"/>
                <w:kern w:val="0"/>
                <w:szCs w:val="21"/>
                <w:lang w:val="en-US" w:eastAsia="zh-CN"/>
              </w:rPr>
              <w:t>3</w:t>
            </w:r>
          </w:p>
        </w:tc>
        <w:tc>
          <w:tcPr>
            <w:tcW w:w="813"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专业技术力量</w:t>
            </w:r>
          </w:p>
        </w:tc>
        <w:tc>
          <w:tcPr>
            <w:tcW w:w="588"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15</w:t>
            </w:r>
          </w:p>
        </w:tc>
        <w:tc>
          <w:tcPr>
            <w:tcW w:w="5026" w:type="dxa"/>
            <w:vAlign w:val="center"/>
          </w:tcPr>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both"/>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1、注册会计师人数等于10人的得3分；高于10人每增加一人加0.2分，满分5分。</w:t>
            </w:r>
          </w:p>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highlight w:val="none"/>
              </w:rPr>
            </w:pPr>
            <w:r>
              <w:rPr>
                <w:rFonts w:hint="default" w:ascii="Times New Roman" w:hAnsi="Times New Roman" w:eastAsia="方正仿宋_GBK" w:cs="Times New Roman"/>
                <w:kern w:val="0"/>
                <w:szCs w:val="21"/>
                <w:highlight w:val="none"/>
              </w:rPr>
              <w:t>2、四川省</w:t>
            </w:r>
            <w:r>
              <w:rPr>
                <w:rFonts w:hint="eastAsia" w:ascii="Times New Roman" w:hAnsi="Times New Roman" w:eastAsia="方正仿宋_GBK" w:cs="Times New Roman"/>
                <w:kern w:val="0"/>
                <w:szCs w:val="21"/>
                <w:highlight w:val="none"/>
                <w:lang w:val="en-US" w:eastAsia="zh-CN"/>
              </w:rPr>
              <w:t>2024</w:t>
            </w:r>
            <w:r>
              <w:rPr>
                <w:rFonts w:hint="default" w:ascii="Times New Roman" w:hAnsi="Times New Roman" w:eastAsia="方正仿宋_GBK" w:cs="Times New Roman"/>
                <w:kern w:val="0"/>
                <w:szCs w:val="21"/>
                <w:highlight w:val="none"/>
              </w:rPr>
              <w:t>年度会计师事务所综合评价前50名的得5分；51-100名的得3分；100名以后得1分。</w:t>
            </w:r>
          </w:p>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highlight w:val="none"/>
              </w:rPr>
              <w:t>3、在四川省</w:t>
            </w:r>
            <w:r>
              <w:rPr>
                <w:rFonts w:hint="eastAsia" w:ascii="Times New Roman" w:hAnsi="Times New Roman" w:eastAsia="方正仿宋_GBK" w:cs="Times New Roman"/>
                <w:kern w:val="0"/>
                <w:szCs w:val="21"/>
                <w:highlight w:val="none"/>
                <w:lang w:val="en-US" w:eastAsia="zh-CN"/>
              </w:rPr>
              <w:t>2024</w:t>
            </w:r>
            <w:r>
              <w:rPr>
                <w:rFonts w:hint="default" w:ascii="Times New Roman" w:hAnsi="Times New Roman" w:eastAsia="方正仿宋_GBK" w:cs="Times New Roman"/>
                <w:kern w:val="0"/>
                <w:szCs w:val="21"/>
                <w:highlight w:val="none"/>
              </w:rPr>
              <w:t>年度会计师事务所综合评价中为AAAA级及以上的，得5分；AAA级的，得3分；</w:t>
            </w:r>
            <w:r>
              <w:rPr>
                <w:rFonts w:hint="eastAsia" w:ascii="Times New Roman" w:hAnsi="Times New Roman" w:eastAsia="方正仿宋_GBK" w:cs="Times New Roman"/>
                <w:kern w:val="0"/>
                <w:szCs w:val="21"/>
                <w:highlight w:val="none"/>
                <w:lang w:val="en-US" w:eastAsia="zh-CN"/>
              </w:rPr>
              <w:t>客观分</w:t>
            </w:r>
            <w:r>
              <w:rPr>
                <w:rFonts w:hint="default" w:ascii="Times New Roman" w:hAnsi="Times New Roman" w:eastAsia="方正仿宋_GBK" w:cs="Times New Roman"/>
                <w:kern w:val="0"/>
                <w:szCs w:val="21"/>
                <w:highlight w:val="none"/>
              </w:rPr>
              <w:t>AA级的，得2分；A级的，得1分。</w:t>
            </w:r>
          </w:p>
        </w:tc>
        <w:tc>
          <w:tcPr>
            <w:tcW w:w="1536"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center"/>
              <w:textAlignment w:val="auto"/>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59"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both"/>
              <w:textAlignment w:val="auto"/>
              <w:rPr>
                <w:rFonts w:hint="eastAsia" w:ascii="Times New Roman" w:hAnsi="Times New Roman" w:eastAsia="方正仿宋_GBK" w:cs="Times New Roman"/>
                <w:kern w:val="0"/>
                <w:szCs w:val="21"/>
                <w:lang w:eastAsia="zh-CN"/>
              </w:rPr>
            </w:pPr>
            <w:r>
              <w:rPr>
                <w:rFonts w:hint="eastAsia" w:ascii="Times New Roman" w:hAnsi="Times New Roman" w:eastAsia="方正仿宋_GBK" w:cs="Times New Roman"/>
                <w:kern w:val="0"/>
                <w:szCs w:val="21"/>
                <w:lang w:val="en-US" w:eastAsia="zh-CN"/>
              </w:rPr>
              <w:t>4</w:t>
            </w:r>
          </w:p>
        </w:tc>
        <w:tc>
          <w:tcPr>
            <w:tcW w:w="813"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人员配备</w:t>
            </w:r>
          </w:p>
        </w:tc>
        <w:tc>
          <w:tcPr>
            <w:tcW w:w="588"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both"/>
              <w:textAlignment w:val="auto"/>
              <w:rPr>
                <w:rFonts w:hint="eastAsia" w:ascii="Times New Roman" w:hAnsi="Times New Roman" w:eastAsia="方正仿宋_GBK" w:cs="Times New Roman"/>
                <w:kern w:val="0"/>
                <w:szCs w:val="21"/>
                <w:lang w:eastAsia="zh-CN"/>
              </w:rPr>
            </w:pPr>
            <w:r>
              <w:rPr>
                <w:rFonts w:hint="eastAsia" w:ascii="Times New Roman" w:hAnsi="Times New Roman" w:eastAsia="方正仿宋_GBK" w:cs="Times New Roman"/>
                <w:kern w:val="0"/>
                <w:szCs w:val="21"/>
                <w:lang w:val="en-US" w:eastAsia="zh-CN"/>
              </w:rPr>
              <w:t>15</w:t>
            </w:r>
          </w:p>
        </w:tc>
        <w:tc>
          <w:tcPr>
            <w:tcW w:w="5026" w:type="dxa"/>
            <w:vAlign w:val="center"/>
          </w:tcPr>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eastAsia" w:ascii="Times New Roman" w:hAnsi="Times New Roman" w:eastAsia="方正仿宋_GBK" w:cs="Times New Roman"/>
                <w:kern w:val="0"/>
                <w:szCs w:val="21"/>
                <w:lang w:eastAsia="zh-CN"/>
              </w:rPr>
            </w:pPr>
            <w:r>
              <w:rPr>
                <w:rFonts w:hint="default" w:ascii="Times New Roman" w:hAnsi="Times New Roman" w:eastAsia="方正仿宋_GBK" w:cs="Times New Roman"/>
                <w:kern w:val="0"/>
                <w:szCs w:val="21"/>
              </w:rPr>
              <w:t>1、拟派项目负责人：按学历、资格证书、工作经历等情况综合评定，综合情况最优的得</w:t>
            </w:r>
            <w:r>
              <w:rPr>
                <w:rFonts w:hint="eastAsia" w:ascii="Times New Roman" w:hAnsi="Times New Roman" w:eastAsia="方正仿宋_GBK" w:cs="Times New Roman"/>
                <w:kern w:val="0"/>
                <w:szCs w:val="21"/>
                <w:lang w:val="en-US" w:eastAsia="zh-CN"/>
              </w:rPr>
              <w:t>5</w:t>
            </w:r>
            <w:r>
              <w:rPr>
                <w:rFonts w:hint="default" w:ascii="Times New Roman" w:hAnsi="Times New Roman" w:eastAsia="方正仿宋_GBK" w:cs="Times New Roman"/>
                <w:kern w:val="0"/>
                <w:szCs w:val="21"/>
              </w:rPr>
              <w:t>分，综合情况良好的得</w:t>
            </w:r>
            <w:r>
              <w:rPr>
                <w:rFonts w:hint="eastAsia" w:ascii="Times New Roman" w:hAnsi="Times New Roman" w:eastAsia="方正仿宋_GBK" w:cs="Times New Roman"/>
                <w:kern w:val="0"/>
                <w:szCs w:val="21"/>
                <w:lang w:val="en-US" w:eastAsia="zh-CN"/>
              </w:rPr>
              <w:t>5</w:t>
            </w:r>
            <w:r>
              <w:rPr>
                <w:rFonts w:hint="default" w:ascii="Times New Roman" w:hAnsi="Times New Roman" w:eastAsia="方正仿宋_GBK" w:cs="Times New Roman"/>
                <w:kern w:val="0"/>
                <w:szCs w:val="21"/>
              </w:rPr>
              <w:t>分，综合情况一般的得</w:t>
            </w:r>
            <w:r>
              <w:rPr>
                <w:rFonts w:hint="eastAsia" w:ascii="Times New Roman" w:hAnsi="Times New Roman" w:eastAsia="方正仿宋_GBK" w:cs="Times New Roman"/>
                <w:kern w:val="0"/>
                <w:szCs w:val="21"/>
                <w:lang w:val="en-US" w:eastAsia="zh-CN"/>
              </w:rPr>
              <w:t>2</w:t>
            </w:r>
            <w:r>
              <w:rPr>
                <w:rFonts w:hint="default" w:ascii="Times New Roman" w:hAnsi="Times New Roman" w:eastAsia="方正仿宋_GBK" w:cs="Times New Roman"/>
                <w:kern w:val="0"/>
                <w:szCs w:val="21"/>
              </w:rPr>
              <w:t>分。</w:t>
            </w:r>
            <w:r>
              <w:rPr>
                <w:rFonts w:hint="eastAsia"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rPr>
              <w:t>提供相关证书复印件并加盖公章</w:t>
            </w:r>
            <w:r>
              <w:rPr>
                <w:rFonts w:hint="eastAsia" w:ascii="Times New Roman" w:hAnsi="Times New Roman" w:eastAsia="方正仿宋_GBK" w:cs="Times New Roman"/>
                <w:kern w:val="0"/>
                <w:szCs w:val="21"/>
                <w:lang w:eastAsia="zh-CN"/>
              </w:rPr>
              <w:t>）</w:t>
            </w:r>
          </w:p>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2、除项目负责人外，团队成员配置3名会计相关专业人员得6分，每增加1人加2分，本项最多得10分。</w:t>
            </w:r>
            <w:r>
              <w:rPr>
                <w:rFonts w:hint="eastAsia"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rPr>
              <w:t>提供相关证书复印件并加盖公章</w:t>
            </w:r>
            <w:r>
              <w:rPr>
                <w:rFonts w:hint="eastAsia" w:ascii="Times New Roman" w:hAnsi="Times New Roman" w:eastAsia="方正仿宋_GBK" w:cs="Times New Roman"/>
                <w:kern w:val="0"/>
                <w:szCs w:val="21"/>
                <w:lang w:eastAsia="zh-CN"/>
              </w:rPr>
              <w:t>）</w:t>
            </w:r>
          </w:p>
        </w:tc>
        <w:tc>
          <w:tcPr>
            <w:tcW w:w="1536"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center"/>
              <w:textAlignment w:val="auto"/>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color w:val="auto"/>
                <w:kern w:val="0"/>
                <w:szCs w:val="21"/>
                <w:lang w:val="en-US" w:eastAsia="zh-CN"/>
              </w:rPr>
              <w:t>主观分</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559"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eastAsia" w:ascii="Times New Roman" w:hAnsi="Times New Roman" w:eastAsia="方正仿宋_GBK" w:cs="Times New Roman"/>
                <w:kern w:val="0"/>
                <w:szCs w:val="21"/>
                <w:lang w:eastAsia="zh-CN"/>
              </w:rPr>
            </w:pPr>
            <w:r>
              <w:rPr>
                <w:rFonts w:hint="eastAsia" w:ascii="Times New Roman" w:hAnsi="Times New Roman" w:eastAsia="方正仿宋_GBK" w:cs="Times New Roman"/>
                <w:kern w:val="0"/>
                <w:szCs w:val="21"/>
                <w:lang w:val="en-US" w:eastAsia="zh-CN"/>
              </w:rPr>
              <w:t>5</w:t>
            </w:r>
          </w:p>
        </w:tc>
        <w:tc>
          <w:tcPr>
            <w:tcW w:w="813"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类似项目业绩</w:t>
            </w:r>
          </w:p>
        </w:tc>
        <w:tc>
          <w:tcPr>
            <w:tcW w:w="588"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left"/>
              <w:textAlignment w:val="auto"/>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rPr>
              <w:t>1</w:t>
            </w:r>
            <w:r>
              <w:rPr>
                <w:rFonts w:hint="eastAsia" w:ascii="Times New Roman" w:hAnsi="Times New Roman" w:eastAsia="方正仿宋_GBK" w:cs="Times New Roman"/>
                <w:kern w:val="0"/>
                <w:szCs w:val="21"/>
                <w:lang w:val="en-US" w:eastAsia="zh-CN"/>
              </w:rPr>
              <w:t>0</w:t>
            </w:r>
          </w:p>
        </w:tc>
        <w:tc>
          <w:tcPr>
            <w:tcW w:w="5026" w:type="dxa"/>
            <w:vAlign w:val="center"/>
          </w:tcPr>
          <w:p>
            <w:pPr>
              <w:keepNext w:val="0"/>
              <w:keepLines w:val="0"/>
              <w:pageBreakBefore w:val="0"/>
              <w:widowControl/>
              <w:kinsoku/>
              <w:overflowPunct/>
              <w:topLinePunct w:val="0"/>
              <w:autoSpaceDE/>
              <w:autoSpaceDN/>
              <w:bidi w:val="0"/>
              <w:adjustRightInd w:val="0"/>
              <w:snapToGrid w:val="0"/>
              <w:spacing w:after="0" w:line="570" w:lineRule="exact"/>
              <w:ind w:left="0" w:leftChars="0" w:firstLine="420" w:firstLineChars="200"/>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2022年1月1日至今具有类似项目业绩的，每个项目业绩得</w:t>
            </w:r>
            <w:r>
              <w:rPr>
                <w:rFonts w:hint="eastAsia" w:ascii="Times New Roman" w:hAnsi="Times New Roman" w:eastAsia="方正仿宋_GBK" w:cs="Times New Roman"/>
                <w:color w:val="auto"/>
                <w:kern w:val="0"/>
                <w:szCs w:val="21"/>
                <w:lang w:val="en-US" w:eastAsia="zh-CN"/>
              </w:rPr>
              <w:t>5</w:t>
            </w:r>
            <w:r>
              <w:rPr>
                <w:rFonts w:hint="default" w:ascii="Times New Roman" w:hAnsi="Times New Roman" w:eastAsia="方正仿宋_GBK" w:cs="Times New Roman"/>
                <w:kern w:val="0"/>
                <w:szCs w:val="21"/>
              </w:rPr>
              <w:t>分</w:t>
            </w:r>
            <w:r>
              <w:rPr>
                <w:rFonts w:hint="eastAsia" w:ascii="Times New Roman" w:hAnsi="Times New Roman" w:eastAsia="方正仿宋_GBK" w:cs="Times New Roman"/>
                <w:kern w:val="0"/>
                <w:szCs w:val="21"/>
                <w:lang w:eastAsia="zh-CN"/>
              </w:rPr>
              <w:t>，</w:t>
            </w:r>
            <w:r>
              <w:rPr>
                <w:rFonts w:hint="eastAsia" w:ascii="Times New Roman" w:hAnsi="Times New Roman" w:eastAsia="方正仿宋_GBK" w:cs="Times New Roman"/>
                <w:kern w:val="0"/>
                <w:szCs w:val="21"/>
                <w:lang w:val="en-US" w:eastAsia="zh-CN"/>
              </w:rPr>
              <w:t>最高得10分，不提供不得分</w:t>
            </w:r>
            <w:r>
              <w:rPr>
                <w:rFonts w:hint="default" w:ascii="Times New Roman" w:hAnsi="Times New Roman" w:eastAsia="方正仿宋_GBK" w:cs="Times New Roman"/>
                <w:color w:val="auto"/>
                <w:kern w:val="0"/>
                <w:szCs w:val="21"/>
              </w:rPr>
              <w:t>。</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提供合同复印件等证明</w:t>
            </w:r>
            <w:r>
              <w:rPr>
                <w:rFonts w:hint="eastAsia" w:ascii="Times New Roman" w:hAnsi="Times New Roman" w:eastAsia="方正仿宋_GBK" w:cs="Times New Roman"/>
                <w:color w:val="auto"/>
                <w:kern w:val="0"/>
                <w:szCs w:val="21"/>
                <w:lang w:val="en-US" w:eastAsia="zh-CN"/>
              </w:rPr>
              <w:t>材料</w:t>
            </w:r>
            <w:r>
              <w:rPr>
                <w:rFonts w:hint="eastAsia" w:ascii="Times New Roman" w:hAnsi="Times New Roman" w:eastAsia="方正仿宋_GBK" w:cs="Times New Roman"/>
                <w:color w:val="auto"/>
                <w:kern w:val="0"/>
                <w:szCs w:val="21"/>
                <w:lang w:eastAsia="zh-CN"/>
              </w:rPr>
              <w:t>）</w:t>
            </w:r>
          </w:p>
        </w:tc>
        <w:tc>
          <w:tcPr>
            <w:tcW w:w="1536" w:type="dxa"/>
            <w:vAlign w:val="center"/>
          </w:tcPr>
          <w:p>
            <w:pPr>
              <w:keepNext w:val="0"/>
              <w:keepLines w:val="0"/>
              <w:pageBreakBefore w:val="0"/>
              <w:widowControl/>
              <w:kinsoku/>
              <w:overflowPunct/>
              <w:topLinePunct w:val="0"/>
              <w:autoSpaceDE/>
              <w:autoSpaceDN/>
              <w:bidi w:val="0"/>
              <w:adjustRightInd w:val="0"/>
              <w:snapToGrid w:val="0"/>
              <w:spacing w:after="0" w:line="570" w:lineRule="exact"/>
              <w:jc w:val="center"/>
              <w:textAlignment w:val="auto"/>
              <w:rPr>
                <w:rFonts w:hint="default"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客观分</w:t>
            </w:r>
          </w:p>
        </w:tc>
      </w:tr>
    </w:tbl>
    <w:p>
      <w:pPr>
        <w:pStyle w:val="2"/>
        <w:pageBreakBefore w:val="0"/>
        <w:kinsoku/>
        <w:topLinePunct w:val="0"/>
        <w:autoSpaceDE/>
        <w:autoSpaceDN/>
        <w:bidi w:val="0"/>
        <w:spacing w:before="0" w:after="0" w:line="570" w:lineRule="exact"/>
        <w:ind w:firstLine="883" w:firstLineChars="200"/>
        <w:jc w:val="center"/>
        <w:rPr>
          <w:rFonts w:ascii="Times New Roman" w:hAnsi="Times New Roman" w:eastAsia="方正仿宋_GBK"/>
          <w:szCs w:val="21"/>
        </w:rPr>
      </w:pPr>
    </w:p>
    <w:p>
      <w:pPr>
        <w:pageBreakBefore w:val="0"/>
        <w:kinsoku/>
        <w:topLinePunct w:val="0"/>
        <w:autoSpaceDE/>
        <w:autoSpaceDN/>
        <w:bidi w:val="0"/>
        <w:spacing w:after="0" w:line="570" w:lineRule="exact"/>
        <w:ind w:firstLine="420" w:firstLineChars="200"/>
        <w:rPr>
          <w:rFonts w:ascii="Times New Roman" w:hAnsi="Times New Roman" w:eastAsia="方正仿宋_GBK"/>
          <w:szCs w:val="21"/>
        </w:rPr>
      </w:pPr>
    </w:p>
    <w:p>
      <w:pPr>
        <w:pStyle w:val="3"/>
        <w:pageBreakBefore w:val="0"/>
        <w:kinsoku/>
        <w:topLinePunct w:val="0"/>
        <w:autoSpaceDE/>
        <w:autoSpaceDN/>
        <w:bidi w:val="0"/>
        <w:spacing w:after="0" w:line="570" w:lineRule="exact"/>
        <w:ind w:firstLine="420" w:firstLineChars="200"/>
      </w:pPr>
    </w:p>
    <w:p>
      <w:pPr>
        <w:pStyle w:val="3"/>
        <w:pageBreakBefore w:val="0"/>
        <w:kinsoku/>
        <w:topLinePunct w:val="0"/>
        <w:autoSpaceDE/>
        <w:autoSpaceDN/>
        <w:bidi w:val="0"/>
        <w:spacing w:after="0" w:line="570" w:lineRule="exact"/>
        <w:ind w:firstLine="420" w:firstLineChars="200"/>
      </w:pPr>
    </w:p>
    <w:p>
      <w:pPr>
        <w:pageBreakBefore w:val="0"/>
        <w:kinsoku/>
        <w:topLinePunct w:val="0"/>
        <w:autoSpaceDE/>
        <w:autoSpaceDN/>
        <w:bidi w:val="0"/>
        <w:spacing w:after="0" w:line="570" w:lineRule="exact"/>
        <w:ind w:firstLine="420" w:firstLineChars="200"/>
      </w:pPr>
    </w:p>
    <w:p>
      <w:pPr>
        <w:pStyle w:val="3"/>
      </w:pPr>
    </w:p>
    <w:p/>
    <w:p>
      <w:pPr>
        <w:pStyle w:val="3"/>
        <w:pageBreakBefore w:val="0"/>
        <w:kinsoku/>
        <w:topLinePunct w:val="0"/>
        <w:autoSpaceDE/>
        <w:autoSpaceDN/>
        <w:bidi w:val="0"/>
        <w:spacing w:after="0" w:line="570" w:lineRule="exact"/>
        <w:ind w:firstLine="420" w:firstLineChars="200"/>
      </w:pPr>
    </w:p>
    <w:p>
      <w:pPr>
        <w:pStyle w:val="2"/>
        <w:pageBreakBefore w:val="0"/>
        <w:kinsoku/>
        <w:wordWrap/>
        <w:topLinePunct w:val="0"/>
        <w:autoSpaceDE/>
        <w:autoSpaceDN/>
        <w:bidi w:val="0"/>
        <w:spacing w:before="0" w:after="0" w:line="570" w:lineRule="exact"/>
        <w:jc w:val="center"/>
        <w:rPr>
          <w:rFonts w:hint="eastAsia" w:ascii="Times New Roman" w:hAnsi="Times New Roman" w:eastAsia="方正小标宋_GBK" w:cs="Times New Roman"/>
          <w:b w:val="0"/>
          <w:bCs w:val="0"/>
          <w:color w:val="333333"/>
          <w:kern w:val="0"/>
          <w:sz w:val="32"/>
          <w:szCs w:val="32"/>
          <w:lang w:val="en-US" w:eastAsia="zh-CN" w:bidi="ar-SA"/>
        </w:rPr>
      </w:pPr>
    </w:p>
    <w:p>
      <w:pPr>
        <w:pStyle w:val="2"/>
        <w:pageBreakBefore w:val="0"/>
        <w:kinsoku/>
        <w:wordWrap/>
        <w:topLinePunct w:val="0"/>
        <w:autoSpaceDE/>
        <w:autoSpaceDN/>
        <w:bidi w:val="0"/>
        <w:spacing w:before="0" w:after="0" w:line="570" w:lineRule="exact"/>
        <w:jc w:val="center"/>
        <w:rPr>
          <w:rFonts w:hint="eastAsia" w:ascii="仿宋_GB2312" w:hAnsi="仿宋_GB2312" w:eastAsia="宋体" w:cs="仿宋_GB2312"/>
          <w:b/>
        </w:rPr>
      </w:pPr>
      <w:bookmarkStart w:id="57" w:name="_GoBack"/>
      <w:bookmarkEnd w:id="57"/>
      <w:r>
        <w:rPr>
          <w:rFonts w:hint="eastAsia" w:ascii="Times New Roman" w:hAnsi="Times New Roman" w:eastAsia="方正小标宋_GBK" w:cs="Times New Roman"/>
          <w:b w:val="0"/>
          <w:bCs w:val="0"/>
          <w:color w:val="333333"/>
          <w:kern w:val="0"/>
          <w:sz w:val="32"/>
          <w:szCs w:val="32"/>
          <w:lang w:val="en-US" w:eastAsia="zh-CN" w:bidi="ar-SA"/>
        </w:rPr>
        <w:t>审计业务约定书</w:t>
      </w:r>
      <w:r>
        <w:rPr>
          <w:rFonts w:hint="default" w:ascii="Times New Roman" w:hAnsi="Times New Roman" w:eastAsia="方正小标宋_GBK" w:cs="Times New Roman"/>
          <w:b w:val="0"/>
          <w:bCs w:val="0"/>
          <w:color w:val="333333"/>
          <w:kern w:val="0"/>
          <w:sz w:val="32"/>
          <w:szCs w:val="32"/>
          <w:lang w:val="en-US" w:eastAsia="zh-CN" w:bidi="ar-SA"/>
        </w:rPr>
        <w:t>（草案）</w:t>
      </w:r>
    </w:p>
    <w:p>
      <w:pPr>
        <w:pageBreakBefore w:val="0"/>
        <w:kinsoku/>
        <w:wordWrap/>
        <w:topLinePunct w:val="0"/>
        <w:autoSpaceDE/>
        <w:autoSpaceDN/>
        <w:bidi w:val="0"/>
        <w:spacing w:after="0" w:line="57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甲方：成都市金牛区妇幼保健院</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乙方：</w:t>
      </w:r>
      <w:r>
        <w:rPr>
          <w:rFonts w:hint="eastAsia" w:ascii="方正仿宋_GBK" w:hAnsi="方正仿宋_GBK" w:eastAsia="方正仿宋_GBK" w:cs="方正仿宋_GBK"/>
          <w:sz w:val="24"/>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根据《中华人民共和国采购法》《中华人民共和国招标投标法》《中华人民共和国民法典》及成都市金牛区妇幼保健院</w:t>
      </w:r>
      <w:r>
        <w:rPr>
          <w:rFonts w:hint="eastAsia" w:ascii="方正仿宋_GBK" w:hAnsi="方正仿宋_GBK" w:eastAsia="方正仿宋_GBK" w:cs="方正仿宋_GBK"/>
          <w:sz w:val="24"/>
          <w:lang w:val="en-US" w:eastAsia="zh-CN"/>
        </w:rPr>
        <w:t>2024年度审计服务采购项目</w:t>
      </w:r>
      <w:r>
        <w:rPr>
          <w:rFonts w:hint="eastAsia" w:ascii="方正仿宋_GBK" w:hAnsi="方正仿宋_GBK" w:eastAsia="方正仿宋_GBK" w:cs="方正仿宋_GBK"/>
          <w:sz w:val="24"/>
        </w:rPr>
        <w:t>的《</w:t>
      </w:r>
      <w:r>
        <w:rPr>
          <w:rFonts w:hint="eastAsia" w:ascii="方正仿宋_GBK" w:hAnsi="方正仿宋_GBK" w:eastAsia="方正仿宋_GBK" w:cs="方正仿宋_GBK"/>
          <w:sz w:val="24"/>
          <w:lang w:val="en-US" w:eastAsia="zh-CN"/>
        </w:rPr>
        <w:t>采购</w:t>
      </w:r>
      <w:r>
        <w:rPr>
          <w:rFonts w:hint="eastAsia" w:ascii="方正仿宋_GBK" w:hAnsi="方正仿宋_GBK" w:eastAsia="方正仿宋_GBK" w:cs="方正仿宋_GBK"/>
          <w:sz w:val="24"/>
        </w:rPr>
        <w:t>文件》、乙方的《</w:t>
      </w:r>
      <w:r>
        <w:rPr>
          <w:rFonts w:hint="eastAsia" w:ascii="方正仿宋_GBK" w:hAnsi="方正仿宋_GBK" w:eastAsia="方正仿宋_GBK" w:cs="方正仿宋_GBK"/>
          <w:sz w:val="24"/>
          <w:lang w:val="en-US" w:eastAsia="zh-CN"/>
        </w:rPr>
        <w:t>响应</w:t>
      </w:r>
      <w:r>
        <w:rPr>
          <w:rFonts w:hint="eastAsia" w:ascii="方正仿宋_GBK" w:hAnsi="方正仿宋_GBK" w:eastAsia="方正仿宋_GBK" w:cs="方正仿宋_GBK"/>
          <w:sz w:val="24"/>
        </w:rPr>
        <w:t>文件》及《</w:t>
      </w:r>
      <w:r>
        <w:rPr>
          <w:rFonts w:hint="eastAsia" w:ascii="方正仿宋_GBK" w:hAnsi="方正仿宋_GBK" w:eastAsia="方正仿宋_GBK" w:cs="方正仿宋_GBK"/>
          <w:sz w:val="24"/>
          <w:lang w:val="en-US" w:eastAsia="zh-CN"/>
        </w:rPr>
        <w:t>成交</w:t>
      </w:r>
      <w:r>
        <w:rPr>
          <w:rFonts w:hint="eastAsia" w:ascii="方正仿宋_GBK" w:hAnsi="方正仿宋_GBK" w:eastAsia="方正仿宋_GBK" w:cs="方正仿宋_GBK"/>
          <w:sz w:val="24"/>
        </w:rPr>
        <w:t>通知书》，甲、乙双方同意签订本合同。合同附件及本项目的</w:t>
      </w:r>
      <w:r>
        <w:rPr>
          <w:rFonts w:hint="eastAsia" w:ascii="方正仿宋_GBK" w:hAnsi="方正仿宋_GBK" w:eastAsia="方正仿宋_GBK" w:cs="方正仿宋_GBK"/>
          <w:sz w:val="24"/>
          <w:lang w:val="en-US" w:eastAsia="zh-CN"/>
        </w:rPr>
        <w:t>采购</w:t>
      </w:r>
      <w:r>
        <w:rPr>
          <w:rFonts w:hint="eastAsia" w:ascii="方正仿宋_GBK" w:hAnsi="方正仿宋_GBK" w:eastAsia="方正仿宋_GBK" w:cs="方正仿宋_GBK"/>
          <w:sz w:val="24"/>
        </w:rPr>
        <w:t>文件、</w:t>
      </w:r>
      <w:r>
        <w:rPr>
          <w:rFonts w:hint="eastAsia" w:ascii="方正仿宋_GBK" w:hAnsi="方正仿宋_GBK" w:eastAsia="方正仿宋_GBK" w:cs="方正仿宋_GBK"/>
          <w:sz w:val="24"/>
          <w:lang w:val="en-US" w:eastAsia="zh-CN"/>
        </w:rPr>
        <w:t>响应</w:t>
      </w:r>
      <w:r>
        <w:rPr>
          <w:rFonts w:hint="eastAsia" w:ascii="方正仿宋_GBK" w:hAnsi="方正仿宋_GBK" w:eastAsia="方正仿宋_GBK" w:cs="方正仿宋_GBK"/>
          <w:sz w:val="24"/>
        </w:rPr>
        <w:t>文件、《</w:t>
      </w:r>
      <w:r>
        <w:rPr>
          <w:rFonts w:hint="eastAsia" w:ascii="方正仿宋_GBK" w:hAnsi="方正仿宋_GBK" w:eastAsia="方正仿宋_GBK" w:cs="方正仿宋_GBK"/>
          <w:sz w:val="24"/>
          <w:lang w:val="en-US" w:eastAsia="zh-CN"/>
        </w:rPr>
        <w:t>成交</w:t>
      </w:r>
      <w:r>
        <w:rPr>
          <w:rFonts w:hint="eastAsia" w:ascii="方正仿宋_GBK" w:hAnsi="方正仿宋_GBK" w:eastAsia="方正仿宋_GBK" w:cs="方正仿宋_GBK"/>
          <w:sz w:val="24"/>
        </w:rPr>
        <w:t>通知书》等均为本合同不可分割的部分。双方同意共同遵守如下条款：</w:t>
      </w:r>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kern w:val="2"/>
          <w:sz w:val="28"/>
          <w:szCs w:val="28"/>
          <w:lang w:val="en-US" w:eastAsia="zh-CN" w:bidi="ar-SA"/>
          <w14:ligatures w14:val="standardContextual"/>
        </w:rPr>
      </w:pPr>
      <w:bookmarkStart w:id="3" w:name="_Toc2220"/>
      <w:bookmarkStart w:id="4" w:name="_Toc217446115"/>
      <w:r>
        <w:rPr>
          <w:rFonts w:hint="eastAsia" w:ascii="Times New Roman" w:hAnsi="Times New Roman" w:eastAsia="方正黑体_GBK" w:cs="Times New Roman"/>
          <w:kern w:val="2"/>
          <w:sz w:val="28"/>
          <w:szCs w:val="28"/>
          <w:lang w:val="en-US" w:eastAsia="zh-CN" w:bidi="ar-SA"/>
          <w14:ligatures w14:val="standardContextual"/>
        </w:rPr>
        <w:t>项目基本情况</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sz w:val="24"/>
        </w:rPr>
        <w:t>本项目为成都市金牛区妇幼保健院</w:t>
      </w:r>
      <w:r>
        <w:rPr>
          <w:rFonts w:hint="eastAsia" w:ascii="方正仿宋_GBK" w:hAnsi="方正仿宋_GBK" w:eastAsia="方正仿宋_GBK" w:cs="方正仿宋_GBK"/>
          <w:sz w:val="24"/>
          <w:lang w:eastAsia="zh-CN"/>
        </w:rPr>
        <w:t>2024</w:t>
      </w:r>
      <w:r>
        <w:rPr>
          <w:rFonts w:hint="eastAsia" w:ascii="方正仿宋_GBK" w:hAnsi="方正仿宋_GBK" w:eastAsia="方正仿宋_GBK" w:cs="方正仿宋_GBK"/>
          <w:sz w:val="24"/>
        </w:rPr>
        <w:t>年度财务报表审计</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财务收支审计项</w:t>
      </w:r>
      <w:r>
        <w:rPr>
          <w:rFonts w:hint="eastAsia" w:ascii="方正仿宋_GBK" w:hAnsi="方正仿宋_GBK" w:eastAsia="方正仿宋_GBK" w:cs="方正仿宋_GBK"/>
          <w:color w:val="auto"/>
          <w:sz w:val="24"/>
        </w:rPr>
        <w:t>目</w:t>
      </w:r>
      <w:r>
        <w:rPr>
          <w:rFonts w:hint="eastAsia" w:ascii="方正仿宋_GBK" w:hAnsi="方正仿宋_GBK" w:eastAsia="方正仿宋_GBK" w:cs="方正仿宋_GBK"/>
          <w:color w:val="auto"/>
          <w:sz w:val="24"/>
          <w:lang w:val="en-US" w:eastAsia="zh-CN"/>
        </w:rPr>
        <w:t>、2024年度药品医用耗材和医用仪器设备采购内部控制情况审计</w:t>
      </w:r>
      <w:r>
        <w:rPr>
          <w:rFonts w:hint="eastAsia" w:ascii="方正仿宋_GBK" w:hAnsi="方正仿宋_GBK" w:eastAsia="方正仿宋_GBK" w:cs="方正仿宋_GBK"/>
          <w:color w:val="auto"/>
          <w:sz w:val="24"/>
        </w:rPr>
        <w:t>。</w:t>
      </w:r>
    </w:p>
    <w:p>
      <w:pPr>
        <w:pageBreakBefore w:val="0"/>
        <w:kinsoku/>
        <w:wordWrap/>
        <w:topLinePunct w:val="0"/>
        <w:autoSpaceDE/>
        <w:autoSpaceDN/>
        <w:bidi w:val="0"/>
        <w:spacing w:after="0" w:line="570" w:lineRule="exact"/>
        <w:ind w:firstLine="560" w:firstLineChars="200"/>
        <w:outlineLvl w:val="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（一）财务报表审计目标与范围</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1.乙方接受甲方委托，对甲方按照《政府会计制度》编制的</w:t>
      </w:r>
      <w:r>
        <w:rPr>
          <w:rFonts w:hint="eastAsia" w:ascii="方正仿宋_GBK" w:hAnsi="方正仿宋_GBK" w:eastAsia="方正仿宋_GBK" w:cs="方正仿宋_GBK"/>
          <w:sz w:val="24"/>
          <w:lang w:eastAsia="zh-CN"/>
        </w:rPr>
        <w:t>2024</w:t>
      </w:r>
      <w:r>
        <w:rPr>
          <w:rFonts w:hint="eastAsia" w:ascii="方正仿宋_GBK" w:hAnsi="方正仿宋_GBK" w:eastAsia="方正仿宋_GBK" w:cs="方正仿宋_GBK"/>
          <w:sz w:val="24"/>
        </w:rPr>
        <w:t>年 12 月 31 日的资产负债表，</w:t>
      </w:r>
      <w:r>
        <w:rPr>
          <w:rFonts w:hint="eastAsia" w:ascii="方正仿宋_GBK" w:hAnsi="方正仿宋_GBK" w:eastAsia="方正仿宋_GBK" w:cs="方正仿宋_GBK"/>
          <w:sz w:val="24"/>
          <w:lang w:eastAsia="zh-CN"/>
        </w:rPr>
        <w:t>2024</w:t>
      </w:r>
      <w:r>
        <w:rPr>
          <w:rFonts w:hint="eastAsia" w:ascii="方正仿宋_GBK" w:hAnsi="方正仿宋_GBK" w:eastAsia="方正仿宋_GBK" w:cs="方正仿宋_GBK"/>
          <w:sz w:val="24"/>
        </w:rPr>
        <w:t>年度收入费用表、净资产变动表和现金流量表以及财务报表附注等（以下统称财务报表）进行审计。</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2.乙方通过执行审计工作，对财务报表的下列方面发表审计意见：（1）财务报表是否按照《政府会计制度》的规定编制；（2）财务报表是否公允反映甲方的财务状况、营运成果和现金流量。</w:t>
      </w:r>
    </w:p>
    <w:p>
      <w:pPr>
        <w:pageBreakBefore w:val="0"/>
        <w:kinsoku/>
        <w:wordWrap/>
        <w:topLinePunct w:val="0"/>
        <w:autoSpaceDE/>
        <w:autoSpaceDN/>
        <w:bidi w:val="0"/>
        <w:spacing w:after="0" w:line="570" w:lineRule="exact"/>
        <w:ind w:firstLine="560" w:firstLineChars="200"/>
        <w:outlineLvl w:val="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（二）财务收支情况审计目标与范围</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1.审计范围：对甲方</w:t>
      </w:r>
      <w:r>
        <w:rPr>
          <w:rFonts w:hint="eastAsia" w:ascii="方正仿宋_GBK" w:hAnsi="方正仿宋_GBK" w:eastAsia="方正仿宋_GBK" w:cs="方正仿宋_GBK"/>
          <w:sz w:val="24"/>
          <w:lang w:eastAsia="zh-CN"/>
        </w:rPr>
        <w:t>2024</w:t>
      </w:r>
      <w:r>
        <w:rPr>
          <w:rFonts w:hint="eastAsia" w:ascii="方正仿宋_GBK" w:hAnsi="方正仿宋_GBK" w:eastAsia="方正仿宋_GBK" w:cs="方正仿宋_GBK"/>
          <w:sz w:val="24"/>
        </w:rPr>
        <w:t>年财务收支情况进行审计，包括：（1）收入是否真实准确，是否依照相关税率对税金进行了计算。（2）支出是否合法、合规，重点包括三公经费、培训费、会议费、差旅费、服务费等支出。（3）现金管理是否合法、合规，现金的收支工作是否完善。（4）专款是否专用、收支是否合规。（5）各项收支是否严格执行“收支两条线”管理规定。（6）各种往来款项是否真实，有无长期挂帐和单位资金被其他单位和个人长期占用的问题。（7）医院设备、药品和卫生材料采购管理是否符合相关规定，程序是否合法、合规。（8）医院固定资产和存货管理是否规范，资产处置是否符合相关规定、程序是否合规。（9）基建工程项目管理是否规范。（10）对医院内部控制涉及的预算管理、收支管理、采购管理、合同管理、资产管理、工程项目管理等方面进行审计，分析内控制度流程是否科学、完备，执行是否有效，是否存在风险。（11）审计人员后续在现场中涉及到的其他需要审计的内容。</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2.根据审计结果，对医院财务收支情况发表审计意见，对发现的主要问题，提出建设性意见，帮助医院提高管理水平。</w:t>
      </w:r>
    </w:p>
    <w:p>
      <w:pPr>
        <w:pageBreakBefore w:val="0"/>
        <w:kinsoku/>
        <w:wordWrap/>
        <w:topLinePunct w:val="0"/>
        <w:autoSpaceDE/>
        <w:autoSpaceDN/>
        <w:bidi w:val="0"/>
        <w:spacing w:after="0" w:line="570" w:lineRule="exact"/>
        <w:ind w:firstLine="560" w:firstLineChars="200"/>
        <w:outlineLvl w:val="0"/>
        <w:rPr>
          <w:rFonts w:hint="eastAsia" w:ascii="方正黑体_GBK" w:hAnsi="方正黑体_GBK" w:eastAsia="方正黑体_GBK" w:cs="方正黑体_GBK"/>
          <w:b w:val="0"/>
          <w:bCs/>
          <w:color w:val="auto"/>
          <w:sz w:val="28"/>
          <w:szCs w:val="28"/>
        </w:rPr>
      </w:pPr>
      <w:r>
        <w:rPr>
          <w:rFonts w:hint="eastAsia" w:ascii="方正黑体_GBK" w:hAnsi="方正黑体_GBK" w:eastAsia="方正黑体_GBK" w:cs="方正黑体_GBK"/>
          <w:b w:val="0"/>
          <w:bCs/>
          <w:color w:val="auto"/>
          <w:sz w:val="28"/>
          <w:szCs w:val="28"/>
        </w:rPr>
        <w:t>（</w:t>
      </w:r>
      <w:r>
        <w:rPr>
          <w:rFonts w:hint="eastAsia" w:ascii="方正黑体_GBK" w:hAnsi="方正黑体_GBK" w:eastAsia="方正黑体_GBK" w:cs="方正黑体_GBK"/>
          <w:b w:val="0"/>
          <w:bCs/>
          <w:color w:val="auto"/>
          <w:sz w:val="28"/>
          <w:szCs w:val="28"/>
          <w:lang w:val="en-US" w:eastAsia="zh-CN"/>
        </w:rPr>
        <w:t>三</w:t>
      </w:r>
      <w:r>
        <w:rPr>
          <w:rFonts w:hint="eastAsia" w:ascii="方正黑体_GBK" w:hAnsi="方正黑体_GBK" w:eastAsia="方正黑体_GBK" w:cs="方正黑体_GBK"/>
          <w:b w:val="0"/>
          <w:bCs/>
          <w:color w:val="auto"/>
          <w:sz w:val="28"/>
          <w:szCs w:val="28"/>
        </w:rPr>
        <w:t>）</w:t>
      </w:r>
      <w:r>
        <w:rPr>
          <w:rFonts w:hint="eastAsia" w:ascii="方正黑体_GBK" w:hAnsi="方正黑体_GBK" w:eastAsia="方正黑体_GBK" w:cs="方正黑体_GBK"/>
          <w:b w:val="0"/>
          <w:bCs/>
          <w:color w:val="auto"/>
          <w:sz w:val="28"/>
          <w:szCs w:val="28"/>
          <w:lang w:val="en-US" w:eastAsia="zh-CN"/>
        </w:rPr>
        <w:t>2024年度药品医用耗材和医用仪器设备采购内部控制情况进行审计</w:t>
      </w:r>
      <w:r>
        <w:rPr>
          <w:rFonts w:hint="eastAsia" w:ascii="方正黑体_GBK" w:hAnsi="方正黑体_GBK" w:eastAsia="方正黑体_GBK" w:cs="方正黑体_GBK"/>
          <w:b w:val="0"/>
          <w:bCs/>
          <w:color w:val="auto"/>
          <w:sz w:val="28"/>
          <w:szCs w:val="28"/>
        </w:rPr>
        <w:t>目标与范围</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1.审计范围：对甲方2024年药品医用耗材和医用仪器设备采购内部控制情况进行审计，包括：（1）内部控制制度及流程设计有效性。（2）内部控制执行有效性。（3）三重一大事项合规性。（4）政府采购及院内采购流程合规性。（5）合同履约情况等。</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2.</w:t>
      </w:r>
      <w:r>
        <w:rPr>
          <w:rFonts w:hint="default" w:ascii="方正仿宋_GBK" w:hAnsi="方正仿宋_GBK" w:eastAsia="方正仿宋_GBK" w:cs="方正仿宋_GBK"/>
          <w:color w:val="auto"/>
          <w:sz w:val="24"/>
          <w:lang w:val="en-US" w:eastAsia="zh-CN"/>
        </w:rPr>
        <w:t>根据审计结果，对医院财务收支情况发表审计意见，对发现的主要问题，提出建设性意见，帮助医院提高管理水平。</w:t>
      </w:r>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color w:val="auto"/>
          <w:kern w:val="2"/>
          <w:sz w:val="28"/>
          <w:szCs w:val="28"/>
          <w:lang w:val="en-US" w:eastAsia="zh-CN" w:bidi="ar-SA"/>
          <w14:ligatures w14:val="standardContextual"/>
        </w:rPr>
      </w:pPr>
      <w:r>
        <w:rPr>
          <w:rFonts w:hint="eastAsia" w:ascii="Times New Roman" w:hAnsi="Times New Roman" w:eastAsia="方正黑体_GBK" w:cs="Times New Roman"/>
          <w:color w:val="auto"/>
          <w:kern w:val="2"/>
          <w:sz w:val="28"/>
          <w:szCs w:val="28"/>
          <w:lang w:val="en-US" w:eastAsia="zh-CN" w:bidi="ar-SA"/>
          <w14:ligatures w14:val="standardContextual"/>
        </w:rPr>
        <w:t>合同期限</w:t>
      </w:r>
    </w:p>
    <w:p>
      <w:pPr>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乙方于合同签订之日起</w:t>
      </w: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周内进驻审计现场，1个月内完成审计工作，将所有报告提交甲方并通过甲方验收</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于2025年8月29日前分别出具3个项目的审计报告。</w:t>
      </w:r>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kern w:val="2"/>
          <w:sz w:val="28"/>
          <w:szCs w:val="28"/>
          <w:lang w:val="en-US" w:eastAsia="zh-CN" w:bidi="ar-SA"/>
          <w14:ligatures w14:val="standardContextual"/>
        </w:rPr>
      </w:pPr>
      <w:bookmarkStart w:id="5" w:name="_Toc225244852"/>
      <w:bookmarkStart w:id="6" w:name="_Toc283019214"/>
      <w:bookmarkStart w:id="7" w:name="_Toc247334841"/>
      <w:bookmarkStart w:id="8" w:name="_Toc225670751"/>
      <w:bookmarkStart w:id="9" w:name="_Toc239233914"/>
      <w:bookmarkStart w:id="10" w:name="_Toc211854449"/>
      <w:bookmarkStart w:id="11" w:name="_Toc185395249"/>
      <w:bookmarkStart w:id="12" w:name="_Toc238984975"/>
      <w:bookmarkStart w:id="13" w:name="_Toc239568418"/>
      <w:bookmarkStart w:id="14" w:name="_Toc286993786"/>
      <w:bookmarkStart w:id="15" w:name="_Toc282696226"/>
      <w:bookmarkStart w:id="16" w:name="_Toc241833903"/>
      <w:bookmarkStart w:id="17" w:name="_Toc237145406"/>
      <w:bookmarkStart w:id="18" w:name="_Toc225654644"/>
      <w:bookmarkStart w:id="19" w:name="_Toc251768862"/>
      <w:bookmarkStart w:id="20" w:name="_Toc232492928"/>
      <w:bookmarkStart w:id="21" w:name="_Toc211911348"/>
      <w:bookmarkStart w:id="22" w:name="_Toc212019594"/>
      <w:r>
        <w:rPr>
          <w:rFonts w:hint="eastAsia" w:ascii="Times New Roman" w:hAnsi="Times New Roman" w:eastAsia="方正黑体_GBK" w:cs="Times New Roman"/>
          <w:kern w:val="2"/>
          <w:sz w:val="28"/>
          <w:szCs w:val="28"/>
          <w:lang w:val="en-US" w:eastAsia="zh-CN" w:bidi="ar-SA"/>
          <w14:ligatures w14:val="standardContextual"/>
        </w:rPr>
        <w:t>服务内容与质量标准</w:t>
      </w:r>
    </w:p>
    <w:p>
      <w:pPr>
        <w:pStyle w:val="3"/>
        <w:pageBreakBefore w:val="0"/>
        <w:tabs>
          <w:tab w:val="left" w:pos="312"/>
        </w:tabs>
        <w:kinsoku/>
        <w:wordWrap/>
        <w:topLinePunct w:val="0"/>
        <w:autoSpaceDE/>
        <w:autoSpaceDN/>
        <w:bidi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对成都市金牛区妇幼保健院2024年度财务报表、2024年度财务收支情况进行审计，按照《中国注册会计师审计准则第1501号——审计报告》和《中国注册会计师审计准则第1502号——非标准审计报告》规定的格式和类型出具审计报告。</w:t>
      </w:r>
    </w:p>
    <w:p>
      <w:pPr>
        <w:pageBreakBefore w:val="0"/>
        <w:kinsoku/>
        <w:wordWrap/>
        <w:topLinePunct w:val="0"/>
        <w:autoSpaceDE/>
        <w:autoSpaceDN/>
        <w:bidi w:val="0"/>
        <w:spacing w:after="0" w:line="57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2.乙方</w:t>
      </w:r>
      <w:r>
        <w:rPr>
          <w:rFonts w:hint="eastAsia" w:ascii="方正仿宋_GBK" w:hAnsi="方正仿宋_GBK" w:eastAsia="方正仿宋_GBK" w:cs="方正仿宋_GBK"/>
          <w:color w:val="auto"/>
          <w:kern w:val="2"/>
          <w:sz w:val="24"/>
          <w:szCs w:val="24"/>
          <w:lang w:val="en-US" w:eastAsia="zh-CN" w:bidi="ar-SA"/>
        </w:rPr>
        <w:t>应同时派驻不少于4人的现场审计小组至甲方所在地进行现场审计。</w:t>
      </w:r>
    </w:p>
    <w:p>
      <w:pPr>
        <w:pageBreakBefore w:val="0"/>
        <w:kinsoku/>
        <w:wordWrap/>
        <w:topLinePunct w:val="0"/>
        <w:autoSpaceDE/>
        <w:autoSpaceDN/>
        <w:bidi w:val="0"/>
        <w:spacing w:after="0" w:line="57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3.乙方应当根据甲方工作需要，按时完成审计工作，出具审计报告。</w:t>
      </w:r>
    </w:p>
    <w:p>
      <w:pPr>
        <w:pStyle w:val="3"/>
        <w:pageBreakBefore w:val="0"/>
        <w:kinsoku/>
        <w:wordWrap/>
        <w:topLinePunct w:val="0"/>
        <w:autoSpaceDE/>
        <w:autoSpaceDN/>
        <w:bidi w:val="0"/>
        <w:spacing w:after="0" w:line="57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4.需满足甲方在合同范围内应尽义务的相关合理要求。</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5.当甲方发现报告存在错误或其他不当事项时，应当事先通知乙方，乙方将考虑有关的修改对审计报告的影响，必要时，将重新出具审计报告。</w:t>
      </w:r>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color w:val="auto"/>
          <w:kern w:val="2"/>
          <w:sz w:val="28"/>
          <w:szCs w:val="28"/>
          <w:lang w:val="en-US" w:eastAsia="zh-CN" w:bidi="ar-SA"/>
          <w14:ligatures w14:val="standardContextual"/>
        </w:rPr>
      </w:pPr>
      <w:r>
        <w:rPr>
          <w:rFonts w:hint="eastAsia" w:ascii="Times New Roman" w:hAnsi="Times New Roman" w:eastAsia="方正黑体_GBK" w:cs="Times New Roman"/>
          <w:color w:val="auto"/>
          <w:kern w:val="2"/>
          <w:sz w:val="28"/>
          <w:szCs w:val="28"/>
          <w:lang w:val="en-US" w:eastAsia="zh-CN" w:bidi="ar-SA"/>
          <w14:ligatures w14:val="standardContextual"/>
        </w:rPr>
        <w:t>服务费用及支付方式</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1.本项目服务费用人民币    元（大写：   元整）（含税价），此外</w:t>
      </w:r>
      <w:r>
        <w:rPr>
          <w:rFonts w:hint="eastAsia" w:ascii="方正仿宋_GBK" w:hAnsi="方正仿宋_GBK" w:eastAsia="方正仿宋_GBK" w:cs="方正仿宋_GBK"/>
          <w:kern w:val="2"/>
          <w:sz w:val="24"/>
          <w:szCs w:val="24"/>
          <w:lang w:val="en-US" w:eastAsia="zh-CN" w:bidi="ar-SA"/>
        </w:rPr>
        <w:t>甲方不再支付乙方本合同服务费用之外的任何费用。</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2.服务费支付方式：甲方在收到乙方出具的有效发票和审计报告书后的30个工作日内一次性支付。</w:t>
      </w:r>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kern w:val="2"/>
          <w:sz w:val="28"/>
          <w:szCs w:val="28"/>
          <w:lang w:val="en-US" w:eastAsia="zh-CN" w:bidi="ar-SA"/>
          <w14:ligatures w14:val="standardContextual"/>
        </w:rPr>
      </w:pPr>
      <w:r>
        <w:rPr>
          <w:rFonts w:hint="eastAsia" w:ascii="Times New Roman" w:hAnsi="Times New Roman" w:eastAsia="方正黑体_GBK" w:cs="Times New Roman"/>
          <w:kern w:val="2"/>
          <w:sz w:val="28"/>
          <w:szCs w:val="28"/>
          <w:lang w:val="en-US" w:eastAsia="zh-CN" w:bidi="ar-SA"/>
          <w14:ligatures w14:val="standardContextual"/>
        </w:rPr>
        <w:t>知识产权</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乙方应保证所提供的服务或其任何一部分均不会侵犯任何第三方的专利权、商标权或著作权。</w:t>
      </w:r>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kern w:val="2"/>
          <w:sz w:val="28"/>
          <w:szCs w:val="28"/>
          <w:lang w:val="en-US" w:eastAsia="zh-CN" w:bidi="ar-SA"/>
          <w14:ligatures w14:val="standardContextual"/>
        </w:rPr>
      </w:pPr>
      <w:r>
        <w:rPr>
          <w:rFonts w:hint="eastAsia" w:ascii="Times New Roman" w:hAnsi="Times New Roman" w:eastAsia="方正黑体_GBK" w:cs="Times New Roman"/>
          <w:kern w:val="2"/>
          <w:sz w:val="28"/>
          <w:szCs w:val="28"/>
          <w:lang w:val="en-US" w:eastAsia="zh-CN" w:bidi="ar-SA"/>
          <w14:ligatures w14:val="standardContextual"/>
        </w:rPr>
        <w:t>甲方的权利和义务</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1.按约定时间提供审计业务所需全部资料，包括财务会计资料及其他相关资料；</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2.在审计业务范围内提出业务流程问题，得到乙方建设性意见，完善财务流程及内控建设。</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3.根据本合同规定，按时向乙方支付应付服务费用。</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4.国家法律、法规所规定由甲方承担的其它责任。</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5.为审计人员免费提供医院食堂午餐。</w:t>
      </w:r>
    </w:p>
    <w:p>
      <w:pPr>
        <w:pStyle w:val="3"/>
        <w:pageBreakBefore w:val="0"/>
        <w:kinsoku/>
        <w:wordWrap/>
        <w:topLinePunct w:val="0"/>
        <w:autoSpaceDE/>
        <w:autoSpaceDN/>
        <w:bidi w:val="0"/>
        <w:spacing w:after="0" w:line="570" w:lineRule="exact"/>
        <w:ind w:firstLine="560" w:firstLineChars="200"/>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乙方的权利和义务</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1.严格依据有关法律、法规执行业务，实现审计目标。</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2.根据本合同的规定向甲方收取相关服务费用，并有权在本项目管理范围内管理及合理使用。</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3.及时向甲方通告本项目服务范围内有关服务的重大事项。</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4.按合同约定，按时向甲方提供符合要求的审计报告。</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5.在实施审计工作的基础上对甲方经济业务的合规合法性、财务收支的规范性和加强内部控制情况提出审计意见和合理建议。</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6.对在业务执行过程中获悉的甲方商业秘密进行保密。</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7.国家法律、法规所规定由乙方承担的其它责任。</w:t>
      </w:r>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kern w:val="2"/>
          <w:sz w:val="28"/>
          <w:szCs w:val="28"/>
          <w:lang w:val="en-US" w:eastAsia="zh-CN" w:bidi="ar-SA"/>
          <w14:ligatures w14:val="standardContextual"/>
        </w:rPr>
      </w:pPr>
      <w:r>
        <w:rPr>
          <w:rFonts w:hint="eastAsia" w:ascii="Times New Roman" w:hAnsi="Times New Roman" w:eastAsia="方正黑体_GBK" w:cs="Times New Roman"/>
          <w:kern w:val="2"/>
          <w:sz w:val="28"/>
          <w:szCs w:val="28"/>
          <w:lang w:val="en-US" w:eastAsia="zh-CN" w:bidi="ar-SA"/>
          <w14:ligatures w14:val="standardContextual"/>
        </w:rPr>
        <w:t>违约责任</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1.甲乙双方必须遵守本合同并执行合同中的各项规定，保证本合同的正常履行。</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除因甲方原因以外，乙方未在合同规定期限内提交审计报告书，每逾期一日按合同约定服务费千分之一的标准向甲方支付违约金，违约金从甲方服务费中扣除。逾期提交审计报告书超过15日的，甲方有权解除本合同并拒付服务费用，乙方需按合同价款的5%向甲方支付违约金。</w:t>
      </w:r>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kern w:val="2"/>
          <w:sz w:val="28"/>
          <w:szCs w:val="28"/>
          <w:lang w:val="en-US" w:eastAsia="zh-CN" w:bidi="ar-SA"/>
          <w14:ligatures w14:val="standardContextual"/>
        </w:rPr>
      </w:pPr>
      <w:r>
        <w:rPr>
          <w:rFonts w:hint="eastAsia" w:ascii="Times New Roman" w:hAnsi="Times New Roman" w:eastAsia="方正黑体_GBK" w:cs="Times New Roman"/>
          <w:kern w:val="2"/>
          <w:sz w:val="28"/>
          <w:szCs w:val="28"/>
          <w:lang w:val="en-US" w:eastAsia="zh-CN" w:bidi="ar-SA"/>
          <w14:ligatures w14:val="standardContextual"/>
        </w:rPr>
        <w:t>不可抗力事件处理</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1.在合同有效期内，任何一方因不可抗力事件导致不能履行合同，则合同履行期可延长，其延长期与不可抗力影响期相同。</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2.不可抗力事件发生后，应立即通知对方，并寄送有关权威机构出具的证明。</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3.不可抗力事件延续30天以上，双方应通过友好协商，确定是否继续履行合同。</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kern w:val="2"/>
          <w:sz w:val="28"/>
          <w:szCs w:val="28"/>
          <w:lang w:val="en-US" w:eastAsia="zh-CN" w:bidi="ar-SA"/>
          <w14:ligatures w14:val="standardContextual"/>
        </w:rPr>
      </w:pPr>
      <w:bookmarkStart w:id="23" w:name="_Toc211854454"/>
      <w:bookmarkStart w:id="24" w:name="_Toc212019599"/>
      <w:bookmarkStart w:id="25" w:name="_Toc232492933"/>
      <w:bookmarkStart w:id="26" w:name="_Toc211911353"/>
      <w:bookmarkStart w:id="27" w:name="_Toc225244857"/>
      <w:bookmarkStart w:id="28" w:name="_Toc237145411"/>
      <w:bookmarkStart w:id="29" w:name="_Toc239233919"/>
      <w:bookmarkStart w:id="30" w:name="_Toc185395254"/>
      <w:bookmarkStart w:id="31" w:name="_Toc286993792"/>
      <w:bookmarkStart w:id="32" w:name="_Toc225670756"/>
      <w:bookmarkStart w:id="33" w:name="_Toc225654649"/>
      <w:bookmarkStart w:id="34" w:name="_Toc238984980"/>
      <w:bookmarkStart w:id="35" w:name="_Toc241833908"/>
      <w:bookmarkStart w:id="36" w:name="_Toc247334846"/>
      <w:bookmarkStart w:id="37" w:name="_Toc251768867"/>
      <w:bookmarkStart w:id="38" w:name="_Toc239568423"/>
      <w:r>
        <w:rPr>
          <w:rFonts w:hint="eastAsia" w:ascii="Times New Roman" w:hAnsi="Times New Roman" w:eastAsia="方正黑体_GBK" w:cs="Times New Roman"/>
          <w:kern w:val="2"/>
          <w:sz w:val="28"/>
          <w:szCs w:val="28"/>
          <w:lang w:val="en-US" w:eastAsia="zh-CN" w:bidi="ar-SA"/>
          <w14:ligatures w14:val="standardContextual"/>
        </w:rPr>
        <w:t xml:space="preserve"> 解决合同纠纷的方式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执行本合同中发生的或与本合同有关的争端，双方应通过友好协商解决，经协商在30天内不能达成协议时，向甲方所在地人民法院提起诉讼。违约方应承担守约方为主张权利而支出的全部追偿成本，包括但不限于：诉讼费、保全费、保全保函费、公证费、律师费、鉴定费、赔偿费等。</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2.在诉讼期间，除正在进行诉讼部分外，合同其他部分继续执行。  </w:t>
      </w:r>
    </w:p>
    <w:p>
      <w:pPr>
        <w:pageBreakBefore w:val="0"/>
        <w:numPr>
          <w:ilvl w:val="0"/>
          <w:numId w:val="1"/>
        </w:numPr>
        <w:tabs>
          <w:tab w:val="left" w:pos="1521"/>
          <w:tab w:val="clear" w:pos="-159"/>
        </w:tabs>
        <w:kinsoku/>
        <w:wordWrap/>
        <w:topLinePunct w:val="0"/>
        <w:autoSpaceDE/>
        <w:autoSpaceDN/>
        <w:bidi w:val="0"/>
        <w:spacing w:after="0" w:line="570" w:lineRule="exact"/>
        <w:ind w:left="-159" w:leftChars="0" w:firstLine="560" w:firstLineChars="200"/>
        <w:rPr>
          <w:rFonts w:hint="eastAsia" w:ascii="Times New Roman" w:hAnsi="Times New Roman" w:eastAsia="方正黑体_GBK" w:cs="Times New Roman"/>
          <w:kern w:val="2"/>
          <w:sz w:val="28"/>
          <w:szCs w:val="28"/>
          <w:lang w:val="en-US" w:eastAsia="zh-CN" w:bidi="ar-SA"/>
          <w14:ligatures w14:val="standardContextual"/>
        </w:rPr>
      </w:pPr>
      <w:bookmarkStart w:id="39" w:name="_Toc282696231"/>
      <w:bookmarkStart w:id="40" w:name="_Toc239568424"/>
      <w:bookmarkStart w:id="41" w:name="_Toc211911354"/>
      <w:bookmarkStart w:id="42" w:name="_Toc225244858"/>
      <w:bookmarkStart w:id="43" w:name="_Toc225654650"/>
      <w:bookmarkStart w:id="44" w:name="_Toc247334847"/>
      <w:bookmarkStart w:id="45" w:name="_Toc185395255"/>
      <w:bookmarkStart w:id="46" w:name="_Toc239233920"/>
      <w:bookmarkStart w:id="47" w:name="_Toc241833909"/>
      <w:bookmarkStart w:id="48" w:name="_Toc237145412"/>
      <w:bookmarkStart w:id="49" w:name="_Toc212019600"/>
      <w:bookmarkStart w:id="50" w:name="_Toc251768868"/>
      <w:bookmarkStart w:id="51" w:name="_Toc283019219"/>
      <w:bookmarkStart w:id="52" w:name="_Toc232492934"/>
      <w:bookmarkStart w:id="53" w:name="_Toc225670757"/>
      <w:bookmarkStart w:id="54" w:name="_Toc286993793"/>
      <w:bookmarkStart w:id="55" w:name="_Toc238984981"/>
      <w:bookmarkStart w:id="56" w:name="_Toc211854455"/>
      <w:r>
        <w:rPr>
          <w:rFonts w:hint="eastAsia" w:ascii="Times New Roman" w:hAnsi="Times New Roman" w:eastAsia="方正黑体_GBK" w:cs="Times New Roman"/>
          <w:kern w:val="2"/>
          <w:sz w:val="28"/>
          <w:szCs w:val="28"/>
          <w:lang w:val="en-US" w:eastAsia="zh-CN" w:bidi="ar-SA"/>
          <w14:ligatures w14:val="standardContextual"/>
        </w:rPr>
        <w:t xml:space="preserve">  合同</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hint="eastAsia" w:ascii="Times New Roman" w:hAnsi="Times New Roman" w:eastAsia="方正黑体_GBK" w:cs="Times New Roman"/>
          <w:kern w:val="2"/>
          <w:sz w:val="28"/>
          <w:szCs w:val="28"/>
          <w:lang w:val="en-US" w:eastAsia="zh-CN" w:bidi="ar-SA"/>
          <w14:ligatures w14:val="standardContextual"/>
        </w:rPr>
        <w:t>生效及其他</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1.合同经双方法定代表人或授权委托代理人签字并加盖单位公章后生效。</w:t>
      </w:r>
    </w:p>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2.合同执行中涉及资金和招标内容修改或补充的，须经相关监管部门审批，并签书面补充协议报相关监督管理部门备案，方可作为主合同不可分割的一部分。</w:t>
      </w:r>
    </w:p>
    <w:tbl>
      <w:tblPr>
        <w:tblStyle w:val="4"/>
        <w:tblpPr w:leftFromText="180" w:rightFromText="180" w:vertAnchor="text" w:horzAnchor="page" w:tblpX="1765" w:tblpY="1462"/>
        <w:tblOverlap w:val="never"/>
        <w:tblW w:w="88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50"/>
        <w:gridCol w:w="4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5" w:hRule="atLeast"/>
        </w:trPr>
        <w:tc>
          <w:tcPr>
            <w:tcW w:w="4350" w:type="dxa"/>
            <w:tcBorders>
              <w:top w:val="single" w:color="auto" w:sz="4" w:space="0"/>
              <w:left w:val="single" w:color="auto" w:sz="4" w:space="0"/>
              <w:bottom w:val="single" w:color="auto" w:sz="4" w:space="0"/>
              <w:right w:val="single" w:color="auto" w:sz="4" w:space="0"/>
            </w:tcBorders>
          </w:tcPr>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甲方（盖章）：成都市金牛区妇幼保健院</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甲方代表（签字）：</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地址：成都市金牛区长月路12号</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电话： 028-68897738</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开户银行：建设银行成都金牛支行</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开户账号：51001446437051507752</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纳税人识别号：1251010645079774X2</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日期：    年    月    日</w:t>
            </w:r>
          </w:p>
        </w:tc>
        <w:tc>
          <w:tcPr>
            <w:tcW w:w="4485" w:type="dxa"/>
            <w:tcBorders>
              <w:top w:val="single" w:color="auto" w:sz="4" w:space="0"/>
              <w:left w:val="single" w:color="auto" w:sz="4" w:space="0"/>
              <w:bottom w:val="single" w:color="auto" w:sz="4" w:space="0"/>
              <w:right w:val="single" w:color="auto" w:sz="4" w:space="0"/>
            </w:tcBorders>
          </w:tcPr>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乙方（盖章）：</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乙方代表（签字）：</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 xml:space="preserve">地址： </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电话：</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开户银行：</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开户账号：</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纳税人识别号：</w:t>
            </w:r>
          </w:p>
          <w:p>
            <w:pPr>
              <w:pageBreakBefore w:val="0"/>
              <w:kinsoku/>
              <w:wordWrap/>
              <w:overflowPunct w:val="0"/>
              <w:topLinePunct w:val="0"/>
              <w:autoSpaceDE/>
              <w:autoSpaceDN/>
              <w:bidi w:val="0"/>
              <w:snapToGrid w:val="0"/>
              <w:spacing w:after="0" w:line="57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日期：    年    月    日</w:t>
            </w:r>
          </w:p>
        </w:tc>
      </w:tr>
    </w:tbl>
    <w:p>
      <w:pPr>
        <w:pageBreakBefore w:val="0"/>
        <w:kinsoku/>
        <w:wordWrap/>
        <w:overflowPunct w:val="0"/>
        <w:topLinePunct w:val="0"/>
        <w:autoSpaceDE/>
        <w:autoSpaceDN/>
        <w:bidi w:val="0"/>
        <w:snapToGrid w:val="0"/>
        <w:spacing w:after="0" w:line="57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3.本合同一式五份，自双方签章之日起起效。甲方三份，乙方二份，具有同等法律效力。</w:t>
      </w:r>
      <w:bookmarkEnd w:id="3"/>
      <w:bookmarkEnd w:id="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japaneseCounting"/>
      <w:lvlText w:val="第%1条"/>
      <w:lvlJc w:val="left"/>
      <w:pPr>
        <w:tabs>
          <w:tab w:val="left" w:pos="-159"/>
        </w:tabs>
        <w:ind w:left="-159" w:hanging="109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E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eastAsia="宋体" w:cs="Times New Roman"/>
      <w:szCs w:val="22"/>
    </w:r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2025-07-14T00:38:38Z</dcterms:created>
  <dc:creator>OS</dc:creator>
  <cp:lastModifiedBy>們泊冬吴@^_^</cp:lastModifiedBy>
  <dcterms:modified xsi:type="dcterms:W3CDTF">2025-07-14T00:39:15Z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