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附件：</w:t>
      </w:r>
    </w:p>
    <w:p>
      <w:pPr>
        <w:pStyle w:val="3"/>
        <w:spacing w:line="570" w:lineRule="atLeast"/>
        <w:rPr>
          <w:rFonts w:eastAsia="方正黑体_GBK"/>
          <w:sz w:val="28"/>
          <w:szCs w:val="28"/>
          <w:highlight w:val="none"/>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w:t>
      </w:r>
      <w:r>
        <w:rPr>
          <w:rFonts w:eastAsia="方正黑体_GBK"/>
          <w:sz w:val="28"/>
          <w:szCs w:val="28"/>
          <w:highlight w:val="none"/>
          <w14:ligatures w14:val="standardContextual"/>
        </w:rPr>
        <w:t>项目名称：</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二号楼电梯维保服务采购项目</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w:t>
      </w:r>
    </w:p>
    <w:p>
      <w:pPr>
        <w:pStyle w:val="3"/>
        <w:spacing w:line="570" w:lineRule="atLeast"/>
        <w:rPr>
          <w:rFonts w:eastAsia="方正仿宋_GBK"/>
          <w:sz w:val="28"/>
          <w:szCs w:val="28"/>
          <w:highlight w:val="none"/>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w:t>
      </w:r>
      <w:r>
        <w:rPr>
          <w:rFonts w:eastAsia="方正黑体_GBK"/>
          <w:sz w:val="28"/>
          <w:szCs w:val="28"/>
          <w:highlight w:val="none"/>
          <w14:ligatures w14:val="standardContextual"/>
        </w:rPr>
        <w:t>最高限价：</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2.8万元/年</w:t>
      </w:r>
      <w:r>
        <w:rPr>
          <w:rFonts w:hint="eastAsia" w:eastAsia="方正仿宋_GBK" w:cs="Times New Roman"/>
          <w:kern w:val="2"/>
          <w:sz w:val="28"/>
          <w:szCs w:val="28"/>
          <w:highlight w:val="none"/>
          <w:lang w:val="en-US" w:eastAsia="zh-CN" w:bidi="ar-SA"/>
          <w14:ligatures w14:val="standardContextual"/>
        </w:rPr>
        <w:t>，一采三年，</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eastAsia="方正仿宋_GBK"/>
          <w:sz w:val="28"/>
          <w:szCs w:val="28"/>
          <w:highlight w:val="none"/>
          <w14:ligatures w14:val="standardContextual"/>
        </w:rPr>
        <w:t>。</w:t>
      </w:r>
    </w:p>
    <w:p>
      <w:pPr>
        <w:pStyle w:val="3"/>
        <w:spacing w:line="570" w:lineRule="atLeast"/>
        <w:rPr>
          <w:rFonts w:hint="default" w:eastAsia="方正仿宋_GBK"/>
          <w:sz w:val="28"/>
          <w:szCs w:val="28"/>
          <w:highlight w:val="none"/>
          <w:lang w:val="en-US" w:eastAsia="zh-CN"/>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w:t>
      </w:r>
      <w:r>
        <w:rPr>
          <w:rFonts w:eastAsia="方正黑体_GBK"/>
          <w:sz w:val="28"/>
          <w:szCs w:val="28"/>
          <w:highlight w:val="none"/>
          <w14:ligatures w14:val="standardContextual"/>
        </w:rPr>
        <w:t>相关要求：</w:t>
      </w:r>
    </w:p>
    <w:tbl>
      <w:tblPr>
        <w:tblStyle w:val="6"/>
        <w:tblpPr w:leftFromText="180" w:rightFromText="180" w:vertAnchor="text" w:horzAnchor="page" w:tblpX="2002" w:tblpY="1275"/>
        <w:tblOverlap w:val="never"/>
        <w:tblW w:w="9703" w:type="dxa"/>
        <w:tblInd w:w="0" w:type="dxa"/>
        <w:tblLayout w:type="fixed"/>
        <w:tblCellMar>
          <w:top w:w="0" w:type="dxa"/>
          <w:left w:w="108" w:type="dxa"/>
          <w:bottom w:w="0" w:type="dxa"/>
          <w:right w:w="108" w:type="dxa"/>
        </w:tblCellMar>
      </w:tblPr>
      <w:tblGrid>
        <w:gridCol w:w="557"/>
        <w:gridCol w:w="1560"/>
        <w:gridCol w:w="1701"/>
        <w:gridCol w:w="850"/>
        <w:gridCol w:w="851"/>
        <w:gridCol w:w="1134"/>
        <w:gridCol w:w="850"/>
        <w:gridCol w:w="1134"/>
        <w:gridCol w:w="1066"/>
      </w:tblGrid>
      <w:tr>
        <w:tblPrEx>
          <w:tblLayout w:type="fixed"/>
          <w:tblCellMar>
            <w:top w:w="0" w:type="dxa"/>
            <w:left w:w="108" w:type="dxa"/>
            <w:bottom w:w="0" w:type="dxa"/>
            <w:right w:w="108" w:type="dxa"/>
          </w:tblCellMar>
        </w:tblPrEx>
        <w:trPr>
          <w:trHeight w:val="10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sz w:val="24"/>
                <w:highlight w:val="none"/>
              </w:rPr>
            </w:pPr>
            <w:r>
              <w:rPr>
                <w:rStyle w:val="9"/>
                <w:rFonts w:hint="default" w:ascii="Times New Roman" w:hAnsi="Times New Roman" w:eastAsia="方正仿宋_GBK" w:cs="Times New Roman"/>
                <w:highlight w:val="none"/>
                <w:lang w:bidi="ar"/>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sz w:val="24"/>
                <w:highlight w:val="none"/>
              </w:rPr>
            </w:pPr>
            <w:r>
              <w:rPr>
                <w:rStyle w:val="9"/>
                <w:rFonts w:hint="default" w:ascii="Times New Roman" w:hAnsi="Times New Roman" w:eastAsia="方正仿宋_GBK" w:cs="Times New Roman"/>
                <w:highlight w:val="none"/>
                <w:lang w:bidi="ar"/>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9"/>
                <w:rFonts w:hint="default" w:ascii="Times New Roman" w:hAnsi="Times New Roman" w:eastAsia="方正仿宋_GBK" w:cs="Times New Roman"/>
                <w:highlight w:val="none"/>
                <w:lang w:bidi="ar"/>
              </w:rPr>
            </w:pPr>
            <w:r>
              <w:rPr>
                <w:rStyle w:val="9"/>
                <w:rFonts w:hint="default" w:ascii="Times New Roman" w:hAnsi="Times New Roman" w:eastAsia="方正仿宋_GBK" w:cs="Times New Roman"/>
                <w:highlight w:val="none"/>
                <w:lang w:bidi="ar"/>
              </w:rPr>
              <w:t>设备号</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9"/>
                <w:rFonts w:hint="default" w:ascii="Times New Roman" w:hAnsi="Times New Roman" w:eastAsia="方正仿宋_GBK" w:cs="Times New Roman"/>
                <w:highlight w:val="none"/>
                <w:lang w:bidi="ar"/>
              </w:rPr>
            </w:pPr>
            <w:r>
              <w:rPr>
                <w:rStyle w:val="9"/>
                <w:rFonts w:hint="default" w:ascii="Times New Roman" w:hAnsi="Times New Roman" w:eastAsia="方正仿宋_GBK" w:cs="Times New Roman"/>
                <w:highlight w:val="none"/>
                <w:lang w:bidi="ar"/>
              </w:rPr>
              <w:t>梯号</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sz w:val="24"/>
                <w:highlight w:val="none"/>
              </w:rPr>
            </w:pPr>
            <w:r>
              <w:rPr>
                <w:rStyle w:val="9"/>
                <w:rFonts w:hint="default" w:ascii="Times New Roman" w:hAnsi="Times New Roman" w:eastAsia="方正仿宋_GBK" w:cs="Times New Roman"/>
                <w:highlight w:val="none"/>
                <w:lang w:bidi="ar"/>
              </w:rPr>
              <w:t>层站</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sz w:val="24"/>
                <w:highlight w:val="none"/>
              </w:rPr>
            </w:pPr>
            <w:r>
              <w:rPr>
                <w:rStyle w:val="9"/>
                <w:rFonts w:hint="default" w:ascii="Times New Roman" w:hAnsi="Times New Roman" w:eastAsia="方正仿宋_GBK" w:cs="Times New Roman"/>
                <w:highlight w:val="none"/>
                <w:lang w:bidi="ar"/>
              </w:rPr>
              <w:t>载重（KG）</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sz w:val="24"/>
                <w:highlight w:val="none"/>
              </w:rPr>
            </w:pPr>
            <w:r>
              <w:rPr>
                <w:rFonts w:ascii="Times New Roman" w:hAnsi="Times New Roman" w:eastAsia="方正仿宋_GBK"/>
                <w:color w:val="000000"/>
                <w:kern w:val="0"/>
                <w:sz w:val="24"/>
                <w:highlight w:val="none"/>
                <w:lang w:bidi="ar"/>
              </w:rPr>
              <w:t>使用年限</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Fonts w:ascii="Times New Roman" w:hAnsi="Times New Roman" w:eastAsia="方正仿宋_GBK"/>
                <w:color w:val="000000"/>
                <w:kern w:val="0"/>
                <w:sz w:val="24"/>
                <w:highlight w:val="none"/>
                <w:lang w:bidi="ar"/>
              </w:rPr>
            </w:pPr>
            <w:r>
              <w:rPr>
                <w:rFonts w:ascii="Times New Roman" w:hAnsi="Times New Roman" w:eastAsia="方正仿宋_GBK"/>
                <w:color w:val="000000"/>
                <w:kern w:val="0"/>
                <w:sz w:val="24"/>
                <w:highlight w:val="none"/>
                <w:lang w:bidi="ar"/>
              </w:rPr>
              <w:t>有无</w:t>
            </w:r>
          </w:p>
          <w:p>
            <w:pPr>
              <w:widowControl/>
              <w:spacing w:line="550" w:lineRule="exact"/>
              <w:jc w:val="center"/>
              <w:textAlignment w:val="center"/>
              <w:rPr>
                <w:rFonts w:ascii="Times New Roman" w:hAnsi="Times New Roman" w:eastAsia="方正仿宋_GBK"/>
                <w:color w:val="000000"/>
                <w:sz w:val="24"/>
                <w:highlight w:val="none"/>
              </w:rPr>
            </w:pPr>
            <w:r>
              <w:rPr>
                <w:rFonts w:ascii="Times New Roman" w:hAnsi="Times New Roman" w:eastAsia="方正仿宋_GBK"/>
                <w:color w:val="000000"/>
                <w:kern w:val="0"/>
                <w:sz w:val="24"/>
                <w:highlight w:val="none"/>
                <w:lang w:bidi="ar"/>
              </w:rPr>
              <w:t>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Fonts w:ascii="Times New Roman" w:hAnsi="Times New Roman" w:eastAsia="方正仿宋_GBK"/>
                <w:color w:val="000000"/>
                <w:sz w:val="24"/>
                <w:highlight w:val="none"/>
              </w:rPr>
            </w:pPr>
            <w:r>
              <w:rPr>
                <w:rStyle w:val="9"/>
                <w:rFonts w:hint="default" w:ascii="Times New Roman" w:hAnsi="Times New Roman" w:eastAsia="方正仿宋_GBK" w:cs="Times New Roman"/>
                <w:highlight w:val="none"/>
                <w:lang w:bidi="ar"/>
              </w:rPr>
              <w:t>数量(台)</w:t>
            </w:r>
          </w:p>
        </w:tc>
      </w:tr>
      <w:tr>
        <w:tblPrEx>
          <w:tblLayout w:type="fixed"/>
          <w:tblCellMar>
            <w:top w:w="0" w:type="dxa"/>
            <w:left w:w="108" w:type="dxa"/>
            <w:bottom w:w="0" w:type="dxa"/>
            <w:right w:w="108" w:type="dxa"/>
          </w:tblCellMar>
        </w:tblPrEx>
        <w:trPr>
          <w:trHeight w:val="3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R2N3H556</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3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R2N3H557</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54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R2N3H558</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48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R2N3H559</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3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R2N3H560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3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R2N3H561</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30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奥的斯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R2N3H562</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有机房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r>
        <w:tblPrEx>
          <w:tblLayout w:type="fixed"/>
          <w:tblCellMar>
            <w:top w:w="0" w:type="dxa"/>
            <w:left w:w="108" w:type="dxa"/>
            <w:bottom w:w="0" w:type="dxa"/>
            <w:right w:w="108" w:type="dxa"/>
          </w:tblCellMar>
        </w:tblPrEx>
        <w:trPr>
          <w:trHeight w:val="540" w:hRule="atLeast"/>
        </w:trPr>
        <w:tc>
          <w:tcPr>
            <w:tcW w:w="557" w:type="dxa"/>
            <w:tcBorders>
              <w:top w:val="single" w:color="auto" w:sz="4" w:space="0"/>
              <w:left w:val="single" w:color="auto" w:sz="4" w:space="0"/>
              <w:bottom w:val="single" w:color="auto" w:sz="4" w:space="0"/>
              <w:right w:val="single" w:color="auto" w:sz="4" w:space="0"/>
            </w:tcBorders>
            <w:noWrap/>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旭森电梯</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lang w:bidi="ar"/>
              </w:rPr>
              <w:t>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250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无机房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spacing w:line="550" w:lineRule="exact"/>
              <w:jc w:val="center"/>
              <w:textAlignment w:val="center"/>
              <w:rPr>
                <w:rStyle w:val="10"/>
                <w:rFonts w:hint="default" w:ascii="Times New Roman" w:hAnsi="Times New Roman" w:eastAsia="方正仿宋_GBK" w:cs="Times New Roman"/>
                <w:sz w:val="24"/>
                <w:highlight w:val="none"/>
                <w:lang w:bidi="ar"/>
              </w:rPr>
            </w:pPr>
            <w:r>
              <w:rPr>
                <w:rStyle w:val="10"/>
                <w:rFonts w:hint="default" w:ascii="Times New Roman" w:hAnsi="Times New Roman" w:eastAsia="方正仿宋_GBK" w:cs="Times New Roman"/>
                <w:sz w:val="24"/>
                <w:highlight w:val="none"/>
              </w:rPr>
              <w:t>1</w:t>
            </w:r>
          </w:p>
        </w:tc>
      </w:tr>
    </w:tbl>
    <w:p>
      <w:pPr>
        <w:pStyle w:val="3"/>
        <w:spacing w:line="570" w:lineRule="atLeast"/>
        <w:rPr>
          <w:rFonts w:hint="eastAsia" w:eastAsia="方正仿宋_GBK"/>
          <w:sz w:val="28"/>
          <w:szCs w:val="28"/>
          <w:highlight w:val="none"/>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eastAsia" w:eastAsia="方正仿宋_GBK"/>
          <w:sz w:val="28"/>
          <w:szCs w:val="28"/>
          <w:highlight w:val="none"/>
          <w:lang w:val="en-US" w:eastAsia="zh-CN"/>
          <w14:ligatures w14:val="standardContextual"/>
        </w:rPr>
        <w:t>电梯清单</w:t>
      </w:r>
    </w:p>
    <w:p>
      <w:pPr>
        <w:rPr>
          <w:highlight w:val="none"/>
        </w:rPr>
      </w:pPr>
    </w:p>
    <w:p>
      <w:pPr>
        <w:widowControl/>
        <w:adjustRightInd w:val="0"/>
        <w:snapToGrid w:val="0"/>
        <w:spacing w:line="360" w:lineRule="auto"/>
        <w:jc w:val="left"/>
        <w:rPr>
          <w:rFonts w:hint="eastAsia" w:ascii="仿宋" w:hAnsi="仿宋" w:eastAsia="仿宋" w:cs="宋体"/>
          <w:b/>
          <w:bCs/>
          <w:color w:val="auto"/>
          <w:kern w:val="0"/>
          <w:sz w:val="24"/>
          <w:highlight w:val="none"/>
        </w:rPr>
      </w:pPr>
    </w:p>
    <w:p>
      <w:pPr>
        <w:widowControl/>
        <w:adjustRightInd w:val="0"/>
        <w:snapToGrid w:val="0"/>
        <w:spacing w:line="360" w:lineRule="auto"/>
        <w:jc w:val="left"/>
        <w:rPr>
          <w:rFonts w:hint="eastAsia" w:ascii="仿宋" w:hAnsi="仿宋" w:eastAsia="仿宋" w:cs="宋体"/>
          <w:b/>
          <w:bCs/>
          <w:color w:val="auto"/>
          <w:kern w:val="0"/>
          <w:sz w:val="24"/>
          <w:highlight w:val="none"/>
        </w:rPr>
      </w:pPr>
    </w:p>
    <w:p>
      <w:pPr>
        <w:widowControl/>
        <w:adjustRightInd w:val="0"/>
        <w:snapToGrid w:val="0"/>
        <w:spacing w:line="360" w:lineRule="auto"/>
        <w:jc w:val="left"/>
        <w:rPr>
          <w:rFonts w:ascii="Times New Roman" w:hAnsi="Times New Roman" w:eastAsia="仿宋" w:cs="Times New Roman"/>
          <w:sz w:val="28"/>
          <w:szCs w:val="28"/>
          <w:highlight w:val="none"/>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ascii="Times New Roman" w:hAnsi="Times New Roman" w:eastAsia="方正仿宋_GBK" w:cs="Times New Roman"/>
          <w:sz w:val="28"/>
          <w:szCs w:val="28"/>
          <w:highlight w:val="none"/>
          <w14:ligatures w14:val="standardContextual"/>
        </w:rPr>
        <w:t>商务要求</w:t>
      </w:r>
      <w:r>
        <w:rPr>
          <w:rFonts w:hint="eastAsia" w:ascii="Times New Roman" w:hAnsi="Times New Roman" w:eastAsia="方正仿宋_GBK" w:cs="Times New Roman"/>
          <w:sz w:val="28"/>
          <w:szCs w:val="28"/>
          <w:highlight w:val="none"/>
          <w14:ligatures w14:val="standardContextual"/>
        </w:rPr>
        <w:t>：</w:t>
      </w:r>
    </w:p>
    <w:tbl>
      <w:tblPr>
        <w:tblStyle w:val="6"/>
        <w:tblW w:w="8454" w:type="dxa"/>
        <w:jc w:val="center"/>
        <w:tblInd w:w="7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10"/>
        <w:gridCol w:w="1179"/>
        <w:gridCol w:w="6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10" w:type="dxa"/>
            <w:vAlign w:val="center"/>
          </w:tcPr>
          <w:p>
            <w:pPr>
              <w:pStyle w:val="11"/>
              <w:spacing w:line="300" w:lineRule="auto"/>
              <w:jc w:val="center"/>
              <w:rPr>
                <w:rFonts w:ascii="Times New Roman" w:hAnsi="Times New Roman" w:eastAsia="仿宋" w:cs="Times New Roman"/>
                <w:b/>
                <w:color w:val="auto"/>
                <w:sz w:val="22"/>
                <w:szCs w:val="22"/>
                <w:highlight w:val="none"/>
                <w:lang w:val="zh-CN"/>
              </w:rPr>
            </w:pPr>
            <w:r>
              <w:rPr>
                <w:rFonts w:ascii="Times New Roman" w:hAnsi="Times New Roman" w:eastAsia="仿宋" w:cs="Times New Roman"/>
                <w:b/>
                <w:color w:val="auto"/>
                <w:sz w:val="22"/>
                <w:szCs w:val="22"/>
                <w:highlight w:val="none"/>
                <w:lang w:val="zh-CN"/>
              </w:rPr>
              <w:t>序号</w:t>
            </w:r>
          </w:p>
        </w:tc>
        <w:tc>
          <w:tcPr>
            <w:tcW w:w="1179" w:type="dxa"/>
            <w:vAlign w:val="center"/>
          </w:tcPr>
          <w:p>
            <w:pPr>
              <w:pStyle w:val="11"/>
              <w:spacing w:line="300" w:lineRule="auto"/>
              <w:jc w:val="center"/>
              <w:rPr>
                <w:rFonts w:ascii="Times New Roman" w:hAnsi="Times New Roman" w:eastAsia="仿宋" w:cs="Times New Roman"/>
                <w:b/>
                <w:color w:val="auto"/>
                <w:sz w:val="22"/>
                <w:szCs w:val="22"/>
                <w:highlight w:val="none"/>
                <w:lang w:val="zh-CN"/>
              </w:rPr>
            </w:pPr>
            <w:r>
              <w:rPr>
                <w:rFonts w:ascii="Times New Roman" w:hAnsi="Times New Roman" w:eastAsia="仿宋" w:cs="Times New Roman"/>
                <w:b/>
                <w:color w:val="auto"/>
                <w:sz w:val="22"/>
                <w:szCs w:val="22"/>
                <w:highlight w:val="none"/>
                <w:lang w:val="zh-CN"/>
              </w:rPr>
              <w:t>内容</w:t>
            </w:r>
          </w:p>
        </w:tc>
        <w:tc>
          <w:tcPr>
            <w:tcW w:w="6765" w:type="dxa"/>
            <w:vAlign w:val="center"/>
          </w:tcPr>
          <w:p>
            <w:pPr>
              <w:pStyle w:val="11"/>
              <w:spacing w:line="300" w:lineRule="auto"/>
              <w:ind w:left="210" w:leftChars="100"/>
              <w:jc w:val="center"/>
              <w:rPr>
                <w:rFonts w:ascii="Times New Roman" w:hAnsi="Times New Roman" w:eastAsia="仿宋" w:cs="Times New Roman"/>
                <w:b/>
                <w:color w:val="auto"/>
                <w:sz w:val="22"/>
                <w:szCs w:val="22"/>
                <w:highlight w:val="none"/>
                <w:lang w:val="zh-CN"/>
              </w:rPr>
            </w:pPr>
            <w:r>
              <w:rPr>
                <w:rFonts w:ascii="Times New Roman" w:hAnsi="Times New Roman" w:eastAsia="仿宋" w:cs="Times New Roman"/>
                <w:b/>
                <w:color w:val="auto"/>
                <w:sz w:val="22"/>
                <w:szCs w:val="22"/>
                <w:highlight w:val="none"/>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59" w:hRule="atLeast"/>
          <w:jc w:val="center"/>
        </w:trPr>
        <w:tc>
          <w:tcPr>
            <w:tcW w:w="510"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ascii="Times New Roman" w:hAnsi="Times New Roman" w:eastAsia="仿宋" w:cs="Times New Roman"/>
                <w:b w:val="0"/>
                <w:bCs w:val="0"/>
                <w:color w:val="auto"/>
                <w:sz w:val="22"/>
                <w:szCs w:val="22"/>
                <w:highlight w:val="none"/>
                <w:lang w:val="zh-CN"/>
              </w:rPr>
              <w:t>1</w:t>
            </w:r>
          </w:p>
        </w:tc>
        <w:tc>
          <w:tcPr>
            <w:tcW w:w="1179" w:type="dxa"/>
            <w:vAlign w:val="center"/>
          </w:tcPr>
          <w:p>
            <w:pPr>
              <w:pStyle w:val="11"/>
              <w:spacing w:line="300" w:lineRule="auto"/>
              <w:jc w:val="center"/>
              <w:rPr>
                <w:rFonts w:hint="eastAsia" w:ascii="Times New Roman" w:hAnsi="Times New Roman" w:eastAsia="仿宋" w:cs="Times New Roman"/>
                <w:b w:val="0"/>
                <w:bCs w:val="0"/>
                <w:color w:val="auto"/>
                <w:sz w:val="22"/>
                <w:szCs w:val="22"/>
                <w:highlight w:val="none"/>
                <w:lang w:val="en-US" w:eastAsia="zh-CN"/>
              </w:rPr>
            </w:pPr>
            <w:r>
              <w:rPr>
                <w:rFonts w:hint="eastAsia" w:ascii="Times New Roman" w:hAnsi="Times New Roman" w:eastAsia="仿宋" w:cs="Times New Roman"/>
                <w:b w:val="0"/>
                <w:bCs w:val="0"/>
                <w:color w:val="auto"/>
                <w:sz w:val="22"/>
                <w:szCs w:val="22"/>
                <w:highlight w:val="none"/>
                <w:lang w:val="en-US" w:eastAsia="zh-CN"/>
              </w:rPr>
              <w:t>服务期</w:t>
            </w:r>
          </w:p>
        </w:tc>
        <w:tc>
          <w:tcPr>
            <w:tcW w:w="6765" w:type="dxa"/>
            <w:vAlign w:val="center"/>
          </w:tcPr>
          <w:p>
            <w:pPr>
              <w:pStyle w:val="11"/>
              <w:spacing w:line="300" w:lineRule="auto"/>
              <w:ind w:left="210" w:leftChars="100"/>
              <w:jc w:val="both"/>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3</w:t>
            </w:r>
            <w:r>
              <w:rPr>
                <w:rFonts w:hint="eastAsia" w:ascii="Times New Roman" w:hAnsi="Times New Roman" w:eastAsia="仿宋" w:cs="Times New Roman"/>
                <w:color w:val="auto"/>
                <w:sz w:val="22"/>
                <w:szCs w:val="22"/>
                <w:highlight w:val="none"/>
                <w:lang w:val="zh-CN"/>
              </w:rPr>
              <w:t>年，</w:t>
            </w:r>
            <w:r>
              <w:rPr>
                <w:rFonts w:hint="eastAsia" w:ascii="Times New Roman" w:hAnsi="Times New Roman" w:eastAsia="仿宋" w:cs="Times New Roman"/>
                <w:color w:val="auto"/>
                <w:sz w:val="22"/>
                <w:szCs w:val="22"/>
                <w:highlight w:val="none"/>
                <w:lang w:val="en-US" w:eastAsia="zh-CN"/>
              </w:rPr>
              <w:t>合同1年1签（经</w:t>
            </w:r>
            <w:r>
              <w:rPr>
                <w:rFonts w:hint="default" w:ascii="Times New Roman" w:hAnsi="Times New Roman" w:eastAsia="仿宋" w:cs="Times New Roman"/>
                <w:color w:val="auto"/>
                <w:kern w:val="0"/>
                <w:sz w:val="22"/>
                <w:szCs w:val="22"/>
                <w:highlight w:val="none"/>
                <w:lang w:val="en-US" w:eastAsia="zh-CN" w:bidi="ar-SA"/>
              </w:rPr>
              <w:t>考核</w:t>
            </w:r>
            <w:r>
              <w:rPr>
                <w:rFonts w:hint="eastAsia" w:ascii="Times New Roman" w:hAnsi="Times New Roman" w:eastAsia="仿宋" w:cs="Times New Roman"/>
                <w:color w:val="auto"/>
                <w:sz w:val="22"/>
                <w:szCs w:val="22"/>
                <w:highlight w:val="none"/>
                <w:lang w:val="en-US" w:eastAsia="zh-CN"/>
              </w:rPr>
              <w:t>合格后，方可签订下一年合同，</w:t>
            </w:r>
            <w:r>
              <w:rPr>
                <w:rFonts w:hint="eastAsia" w:ascii="Times New Roman" w:hAnsi="Times New Roman" w:eastAsia="仿宋" w:cs="Times New Roman"/>
                <w:color w:val="auto"/>
                <w:kern w:val="0"/>
                <w:sz w:val="22"/>
                <w:szCs w:val="22"/>
                <w:highlight w:val="none"/>
                <w:lang w:val="en-US" w:eastAsia="zh-CN" w:bidi="ar-SA"/>
              </w:rPr>
              <w:t>服务期核表详见附件一）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510"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ascii="Times New Roman" w:hAnsi="Times New Roman" w:eastAsia="仿宋" w:cs="Times New Roman"/>
                <w:b w:val="0"/>
                <w:bCs w:val="0"/>
                <w:color w:val="auto"/>
                <w:sz w:val="22"/>
                <w:szCs w:val="22"/>
                <w:highlight w:val="none"/>
                <w:lang w:val="zh-CN"/>
              </w:rPr>
              <w:t>2</w:t>
            </w:r>
          </w:p>
        </w:tc>
        <w:tc>
          <w:tcPr>
            <w:tcW w:w="1179"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hint="eastAsia" w:ascii="Times New Roman" w:hAnsi="Times New Roman" w:eastAsia="仿宋" w:cs="Times New Roman"/>
                <w:b w:val="0"/>
                <w:bCs w:val="0"/>
                <w:color w:val="auto"/>
                <w:sz w:val="22"/>
                <w:szCs w:val="22"/>
                <w:highlight w:val="none"/>
                <w:lang w:val="zh-CN"/>
              </w:rPr>
              <w:t>服务</w:t>
            </w:r>
            <w:r>
              <w:rPr>
                <w:rFonts w:ascii="Times New Roman" w:hAnsi="Times New Roman" w:eastAsia="仿宋" w:cs="Times New Roman"/>
                <w:b w:val="0"/>
                <w:bCs w:val="0"/>
                <w:color w:val="auto"/>
                <w:sz w:val="22"/>
                <w:szCs w:val="22"/>
                <w:highlight w:val="none"/>
                <w:lang w:val="zh-CN"/>
              </w:rPr>
              <w:t>地点</w:t>
            </w:r>
          </w:p>
        </w:tc>
        <w:tc>
          <w:tcPr>
            <w:tcW w:w="6765" w:type="dxa"/>
            <w:vAlign w:val="center"/>
          </w:tcPr>
          <w:p>
            <w:pPr>
              <w:pStyle w:val="11"/>
              <w:spacing w:line="300" w:lineRule="auto"/>
              <w:ind w:firstLine="220" w:firstLineChars="100"/>
              <w:jc w:val="both"/>
              <w:rPr>
                <w:rFonts w:ascii="Times New Roman" w:hAnsi="Times New Roman" w:eastAsia="仿宋" w:cs="Times New Roman"/>
                <w:color w:val="auto"/>
                <w:sz w:val="22"/>
                <w:szCs w:val="22"/>
                <w:highlight w:val="none"/>
                <w:lang w:val="zh-CN"/>
              </w:rPr>
            </w:pPr>
            <w:r>
              <w:rPr>
                <w:rFonts w:hint="eastAsia" w:ascii="Times New Roman" w:hAnsi="Times New Roman" w:eastAsia="仿宋" w:cs="Times New Roman"/>
                <w:color w:val="auto"/>
                <w:sz w:val="22"/>
                <w:szCs w:val="22"/>
                <w:highlight w:val="none"/>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85" w:hRule="atLeast"/>
          <w:jc w:val="center"/>
        </w:trPr>
        <w:tc>
          <w:tcPr>
            <w:tcW w:w="510" w:type="dxa"/>
            <w:vAlign w:val="center"/>
          </w:tcPr>
          <w:p>
            <w:pPr>
              <w:pStyle w:val="11"/>
              <w:spacing w:line="300" w:lineRule="auto"/>
              <w:jc w:val="center"/>
              <w:rPr>
                <w:rFonts w:hint="default" w:ascii="Times New Roman" w:hAnsi="Times New Roman" w:eastAsia="仿宋" w:cs="Times New Roman"/>
                <w:b w:val="0"/>
                <w:bCs w:val="0"/>
                <w:color w:val="auto"/>
                <w:sz w:val="22"/>
                <w:szCs w:val="22"/>
                <w:highlight w:val="none"/>
                <w:lang w:val="en-US" w:eastAsia="zh-CN"/>
              </w:rPr>
            </w:pPr>
            <w:r>
              <w:rPr>
                <w:rFonts w:hint="eastAsia" w:ascii="Times New Roman" w:hAnsi="Times New Roman" w:eastAsia="仿宋" w:cs="Times New Roman"/>
                <w:b w:val="0"/>
                <w:bCs w:val="0"/>
                <w:color w:val="auto"/>
                <w:sz w:val="22"/>
                <w:szCs w:val="22"/>
                <w:highlight w:val="none"/>
                <w:lang w:val="en-US" w:eastAsia="zh-CN"/>
              </w:rPr>
              <w:t>3</w:t>
            </w:r>
          </w:p>
        </w:tc>
        <w:tc>
          <w:tcPr>
            <w:tcW w:w="1179"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hint="eastAsia" w:ascii="Times New Roman" w:hAnsi="Times New Roman" w:eastAsia="仿宋" w:cs="Times New Roman"/>
                <w:b w:val="0"/>
                <w:bCs w:val="0"/>
                <w:color w:val="auto"/>
                <w:sz w:val="22"/>
                <w:szCs w:val="22"/>
                <w:highlight w:val="none"/>
                <w:lang w:val="zh-CN"/>
              </w:rPr>
              <w:t>报价</w:t>
            </w:r>
          </w:p>
        </w:tc>
        <w:tc>
          <w:tcPr>
            <w:tcW w:w="6765" w:type="dxa"/>
            <w:vAlign w:val="center"/>
          </w:tcPr>
          <w:p>
            <w:pPr>
              <w:pStyle w:val="11"/>
              <w:spacing w:line="300" w:lineRule="auto"/>
              <w:ind w:left="210" w:leftChars="100"/>
              <w:jc w:val="both"/>
              <w:rPr>
                <w:rFonts w:ascii="Times New Roman" w:hAnsi="Times New Roman" w:eastAsia="仿宋" w:cs="Times New Roman"/>
                <w:color w:val="auto"/>
                <w:sz w:val="22"/>
                <w:szCs w:val="22"/>
                <w:highlight w:val="none"/>
                <w:lang w:val="zh-CN"/>
              </w:rPr>
            </w:pPr>
            <w:r>
              <w:rPr>
                <w:rFonts w:hint="eastAsia" w:ascii="Times New Roman" w:hAnsi="Times New Roman" w:eastAsia="仿宋" w:cs="Times New Roman"/>
                <w:color w:val="auto"/>
                <w:sz w:val="22"/>
                <w:szCs w:val="22"/>
                <w:highlight w:val="none"/>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353" w:hRule="atLeast"/>
          <w:jc w:val="center"/>
        </w:trPr>
        <w:tc>
          <w:tcPr>
            <w:tcW w:w="510" w:type="dxa"/>
            <w:vAlign w:val="center"/>
          </w:tcPr>
          <w:p>
            <w:pPr>
              <w:pStyle w:val="11"/>
              <w:spacing w:line="300" w:lineRule="auto"/>
              <w:jc w:val="center"/>
              <w:rPr>
                <w:rFonts w:hint="default" w:ascii="Times New Roman" w:hAnsi="Times New Roman" w:eastAsia="仿宋" w:cs="Times New Roman"/>
                <w:b w:val="0"/>
                <w:bCs w:val="0"/>
                <w:color w:val="auto"/>
                <w:sz w:val="22"/>
                <w:szCs w:val="22"/>
                <w:highlight w:val="none"/>
                <w:lang w:val="en-US" w:eastAsia="zh-CN"/>
              </w:rPr>
            </w:pPr>
            <w:r>
              <w:rPr>
                <w:rFonts w:hint="eastAsia" w:ascii="Times New Roman" w:hAnsi="Times New Roman" w:eastAsia="仿宋" w:cs="Times New Roman"/>
                <w:b w:val="0"/>
                <w:bCs w:val="0"/>
                <w:color w:val="auto"/>
                <w:sz w:val="22"/>
                <w:szCs w:val="22"/>
                <w:highlight w:val="none"/>
                <w:lang w:val="en-US" w:eastAsia="zh-CN"/>
              </w:rPr>
              <w:t>4</w:t>
            </w:r>
          </w:p>
        </w:tc>
        <w:tc>
          <w:tcPr>
            <w:tcW w:w="1179"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ascii="Times New Roman" w:hAnsi="Times New Roman" w:eastAsia="仿宋" w:cs="Times New Roman"/>
                <w:b w:val="0"/>
                <w:bCs w:val="0"/>
                <w:color w:val="auto"/>
                <w:sz w:val="22"/>
                <w:szCs w:val="22"/>
                <w:highlight w:val="none"/>
                <w:lang w:val="zh-CN"/>
              </w:rPr>
              <w:t>合同价款支付</w:t>
            </w:r>
          </w:p>
        </w:tc>
        <w:tc>
          <w:tcPr>
            <w:tcW w:w="6765" w:type="dxa"/>
            <w:vAlign w:val="center"/>
          </w:tcPr>
          <w:p>
            <w:pPr>
              <w:pStyle w:val="5"/>
              <w:keepNext w:val="0"/>
              <w:keepLines w:val="0"/>
              <w:pageBreakBefore w:val="0"/>
              <w:widowControl w:val="0"/>
              <w:kinsoku/>
              <w:wordWrap/>
              <w:overflowPunct/>
              <w:topLinePunct w:val="0"/>
              <w:autoSpaceDE/>
              <w:autoSpaceDN/>
              <w:bidi w:val="0"/>
              <w:adjustRightInd/>
              <w:snapToGrid w:val="0"/>
              <w:spacing w:line="360" w:lineRule="auto"/>
              <w:ind w:firstLine="220" w:firstLineChars="100"/>
              <w:jc w:val="both"/>
              <w:textAlignment w:val="auto"/>
              <w:rPr>
                <w:rFonts w:hint="eastAsia" w:ascii="Times New Roman" w:hAnsi="Times New Roman" w:eastAsia="仿宋" w:cs="Times New Roman"/>
                <w:color w:val="auto"/>
                <w:kern w:val="0"/>
                <w:sz w:val="22"/>
                <w:szCs w:val="22"/>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360" w:lineRule="auto"/>
              <w:ind w:firstLine="220" w:firstLineChars="100"/>
              <w:jc w:val="both"/>
              <w:textAlignment w:val="auto"/>
              <w:rPr>
                <w:rFonts w:hint="eastAsia" w:ascii="Times New Roman" w:hAnsi="Times New Roman" w:eastAsia="仿宋" w:cs="Times New Roman"/>
                <w:color w:val="auto"/>
                <w:kern w:val="0"/>
                <w:sz w:val="22"/>
                <w:szCs w:val="22"/>
                <w:highlight w:val="none"/>
                <w:lang w:val="en-US" w:eastAsia="zh-CN" w:bidi="ar-SA"/>
              </w:rPr>
            </w:pPr>
            <w:r>
              <w:rPr>
                <w:rFonts w:hint="eastAsia" w:ascii="Times New Roman" w:hAnsi="Times New Roman" w:eastAsia="仿宋" w:cs="Times New Roman"/>
                <w:color w:val="auto"/>
                <w:kern w:val="0"/>
                <w:sz w:val="22"/>
                <w:szCs w:val="22"/>
                <w:highlight w:val="none"/>
                <w:lang w:val="en-US" w:eastAsia="zh-CN" w:bidi="ar-SA"/>
              </w:rPr>
              <w:t>服务期满一年</w:t>
            </w:r>
            <w:r>
              <w:rPr>
                <w:rFonts w:hint="default" w:ascii="Times New Roman" w:hAnsi="Times New Roman" w:eastAsia="仿宋" w:cs="Times New Roman"/>
                <w:color w:val="auto"/>
                <w:kern w:val="0"/>
                <w:sz w:val="22"/>
                <w:szCs w:val="22"/>
                <w:highlight w:val="none"/>
                <w:lang w:val="en-US" w:eastAsia="zh-CN" w:bidi="ar-SA"/>
              </w:rPr>
              <w:t>采购人根据当</w:t>
            </w:r>
            <w:r>
              <w:rPr>
                <w:rFonts w:hint="eastAsia" w:ascii="Times New Roman" w:hAnsi="Times New Roman" w:eastAsia="仿宋" w:cs="Times New Roman"/>
                <w:color w:val="auto"/>
                <w:kern w:val="0"/>
                <w:sz w:val="22"/>
                <w:szCs w:val="22"/>
                <w:highlight w:val="none"/>
                <w:lang w:val="en-US" w:eastAsia="zh-CN" w:bidi="ar-SA"/>
              </w:rPr>
              <w:t>年</w:t>
            </w:r>
            <w:r>
              <w:rPr>
                <w:rFonts w:hint="default" w:ascii="Times New Roman" w:hAnsi="Times New Roman" w:eastAsia="仿宋" w:cs="Times New Roman"/>
                <w:color w:val="auto"/>
                <w:kern w:val="0"/>
                <w:sz w:val="22"/>
                <w:szCs w:val="22"/>
                <w:highlight w:val="none"/>
                <w:lang w:val="en-US" w:eastAsia="zh-CN" w:bidi="ar-SA"/>
              </w:rPr>
              <w:t>考核结果与供应商结算当</w:t>
            </w:r>
            <w:r>
              <w:rPr>
                <w:rFonts w:hint="eastAsia" w:ascii="Times New Roman" w:hAnsi="Times New Roman" w:eastAsia="仿宋" w:cs="Times New Roman"/>
                <w:color w:val="auto"/>
                <w:kern w:val="0"/>
                <w:sz w:val="22"/>
                <w:szCs w:val="22"/>
                <w:highlight w:val="none"/>
                <w:lang w:val="en-US" w:eastAsia="zh-CN" w:bidi="ar-SA"/>
              </w:rPr>
              <w:t>年</w:t>
            </w:r>
            <w:r>
              <w:rPr>
                <w:rFonts w:hint="default" w:ascii="Times New Roman" w:hAnsi="Times New Roman" w:eastAsia="仿宋" w:cs="Times New Roman"/>
                <w:color w:val="auto"/>
                <w:kern w:val="0"/>
                <w:sz w:val="22"/>
                <w:szCs w:val="22"/>
                <w:highlight w:val="none"/>
                <w:lang w:val="en-US" w:eastAsia="zh-CN" w:bidi="ar-SA"/>
              </w:rPr>
              <w:t>服务费，</w:t>
            </w:r>
            <w:r>
              <w:rPr>
                <w:rFonts w:hint="eastAsia" w:ascii="Times New Roman" w:hAnsi="Times New Roman" w:eastAsia="仿宋" w:cs="Times New Roman"/>
                <w:color w:val="auto"/>
                <w:kern w:val="0"/>
                <w:sz w:val="22"/>
                <w:szCs w:val="22"/>
                <w:highlight w:val="none"/>
                <w:lang w:val="en-US" w:eastAsia="zh-CN" w:bidi="ar-SA"/>
              </w:rPr>
              <w:t>同时，续签下一年度合同，服务费按首年付款方式执行</w:t>
            </w:r>
            <w:r>
              <w:rPr>
                <w:rFonts w:hint="default" w:ascii="Times New Roman" w:hAnsi="Times New Roman" w:eastAsia="仿宋" w:cs="Times New Roman"/>
                <w:color w:val="auto"/>
                <w:kern w:val="0"/>
                <w:sz w:val="22"/>
                <w:szCs w:val="22"/>
                <w:highlight w:val="none"/>
                <w:lang w:val="en-US" w:eastAsia="zh-CN" w:bidi="ar-SA"/>
              </w:rPr>
              <w:t>。</w:t>
            </w:r>
            <w:r>
              <w:rPr>
                <w:rFonts w:hint="eastAsia" w:ascii="Times New Roman" w:hAnsi="Times New Roman" w:eastAsia="仿宋" w:cs="Times New Roman"/>
                <w:color w:val="auto"/>
                <w:kern w:val="0"/>
                <w:sz w:val="22"/>
                <w:szCs w:val="22"/>
                <w:highlight w:val="none"/>
                <w:lang w:val="en-US" w:eastAsia="zh-CN" w:bidi="ar-SA"/>
              </w:rPr>
              <w:t>服务期核表详见附件一）。</w:t>
            </w:r>
          </w:p>
          <w:p>
            <w:pPr>
              <w:pStyle w:val="11"/>
              <w:numPr>
                <w:ilvl w:val="0"/>
                <w:numId w:val="0"/>
              </w:numPr>
              <w:spacing w:line="300" w:lineRule="auto"/>
              <w:jc w:val="both"/>
              <w:rPr>
                <w:rFonts w:hint="default" w:ascii="Times New Roman" w:hAnsi="Times New Roman" w:eastAsia="仿宋" w:cs="Times New Roman"/>
                <w:color w:val="auto"/>
                <w:sz w:val="22"/>
                <w:szCs w:val="22"/>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10" w:type="dxa"/>
            <w:vAlign w:val="center"/>
          </w:tcPr>
          <w:p>
            <w:pPr>
              <w:pStyle w:val="11"/>
              <w:spacing w:line="300" w:lineRule="auto"/>
              <w:jc w:val="center"/>
              <w:rPr>
                <w:rFonts w:hint="default" w:ascii="Times New Roman" w:hAnsi="Times New Roman" w:eastAsia="仿宋" w:cs="Times New Roman"/>
                <w:b w:val="0"/>
                <w:bCs w:val="0"/>
                <w:color w:val="auto"/>
                <w:sz w:val="22"/>
                <w:szCs w:val="22"/>
                <w:highlight w:val="none"/>
                <w:lang w:val="en-US" w:eastAsia="zh-CN"/>
              </w:rPr>
            </w:pPr>
            <w:bookmarkStart w:id="0" w:name="_Toc28829"/>
            <w:bookmarkStart w:id="1" w:name="_Toc32743"/>
            <w:r>
              <w:rPr>
                <w:rFonts w:hint="eastAsia" w:ascii="Times New Roman" w:hAnsi="Times New Roman" w:eastAsia="仿宋" w:cs="Times New Roman"/>
                <w:b w:val="0"/>
                <w:bCs w:val="0"/>
                <w:color w:val="auto"/>
                <w:sz w:val="22"/>
                <w:szCs w:val="22"/>
                <w:highlight w:val="none"/>
                <w:lang w:val="en-US" w:eastAsia="zh-CN"/>
              </w:rPr>
              <w:t>5</w:t>
            </w:r>
          </w:p>
        </w:tc>
        <w:tc>
          <w:tcPr>
            <w:tcW w:w="1179" w:type="dxa"/>
            <w:vAlign w:val="center"/>
          </w:tcPr>
          <w:p>
            <w:pPr>
              <w:pStyle w:val="11"/>
              <w:spacing w:line="300" w:lineRule="auto"/>
              <w:jc w:val="center"/>
              <w:rPr>
                <w:rFonts w:ascii="Times New Roman" w:hAnsi="Times New Roman" w:eastAsia="仿宋" w:cs="Times New Roman"/>
                <w:b w:val="0"/>
                <w:bCs w:val="0"/>
                <w:color w:val="auto"/>
                <w:sz w:val="22"/>
                <w:szCs w:val="22"/>
                <w:highlight w:val="none"/>
                <w:lang w:val="zh-CN"/>
              </w:rPr>
            </w:pPr>
            <w:r>
              <w:rPr>
                <w:rFonts w:hint="eastAsia" w:ascii="Times New Roman" w:hAnsi="Times New Roman" w:eastAsia="仿宋" w:cs="Times New Roman"/>
                <w:b w:val="0"/>
                <w:bCs w:val="0"/>
                <w:color w:val="auto"/>
                <w:sz w:val="22"/>
                <w:szCs w:val="22"/>
                <w:highlight w:val="none"/>
                <w:lang w:val="zh-CN"/>
              </w:rPr>
              <w:t>履约验收</w:t>
            </w:r>
          </w:p>
        </w:tc>
        <w:tc>
          <w:tcPr>
            <w:tcW w:w="6765" w:type="dxa"/>
            <w:vAlign w:val="center"/>
          </w:tcPr>
          <w:p>
            <w:pPr>
              <w:pStyle w:val="11"/>
              <w:spacing w:line="300" w:lineRule="auto"/>
              <w:ind w:left="210" w:leftChars="100"/>
              <w:jc w:val="both"/>
              <w:rPr>
                <w:rFonts w:hint="eastAsia" w:ascii="Times New Roman" w:hAnsi="Times New Roman" w:eastAsia="仿宋" w:cs="Times New Roman"/>
                <w:color w:val="auto"/>
                <w:sz w:val="22"/>
                <w:szCs w:val="22"/>
                <w:highlight w:val="none"/>
                <w:lang w:val="zh-CN"/>
              </w:rPr>
            </w:pPr>
            <w:r>
              <w:rPr>
                <w:rFonts w:hint="eastAsia" w:ascii="Times New Roman" w:hAnsi="Times New Roman" w:eastAsia="仿宋" w:cs="Times New Roman"/>
                <w:color w:val="auto"/>
                <w:sz w:val="22"/>
                <w:szCs w:val="22"/>
                <w:highlight w:val="none"/>
                <w:lang w:val="en-US" w:eastAsia="zh-CN"/>
              </w:rPr>
              <w:t>参照《财政部关于进一步加强政府采购需求和履约验收管理的指导意见》（财库〔2016〕205号）、《政府采购需求管理办法》（财库〔2021〕22号）的要求进行验收</w:t>
            </w:r>
          </w:p>
        </w:tc>
      </w:tr>
      <w:bookmarkEnd w:id="0"/>
      <w:bookmarkEnd w:id="1"/>
    </w:tbl>
    <w:p>
      <w:pPr>
        <w:widowControl/>
        <w:adjustRightInd w:val="0"/>
        <w:snapToGrid w:val="0"/>
        <w:spacing w:line="360" w:lineRule="auto"/>
        <w:jc w:val="left"/>
        <w:rPr>
          <w:rFonts w:hint="eastAsia" w:ascii="Times New Roman" w:hAnsi="Times New Roman" w:eastAsia="仿宋" w:cs="Times New Roman"/>
          <w:sz w:val="28"/>
          <w:szCs w:val="28"/>
          <w:highlight w:val="none"/>
          <w:lang w:val="en-US" w:eastAsia="zh-CN"/>
          <w14:ligatures w14:val="standardContextual"/>
        </w:rPr>
      </w:pPr>
      <w:r>
        <w:rPr>
          <w:rFonts w:hint="eastAsia" w:ascii="Times New Roman" w:hAnsi="Times New Roman" w:eastAsia="仿宋" w:cs="Times New Roman"/>
          <w:sz w:val="28"/>
          <w:szCs w:val="28"/>
          <w:highlight w:val="none"/>
          <w:lang w:val="en-US" w:eastAsia="zh-CN"/>
          <w14:ligatures w14:val="standardContextual"/>
        </w:rPr>
        <w:t>附件一</w:t>
      </w:r>
    </w:p>
    <w:p>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方正小标宋_GBK" w:hAnsi="黑体" w:eastAsia="方正小标宋_GBK" w:cs="宋体"/>
          <w:b w:val="0"/>
          <w:bCs w:val="0"/>
          <w:color w:val="000000"/>
          <w:kern w:val="0"/>
          <w:sz w:val="44"/>
          <w:szCs w:val="44"/>
          <w:highlight w:val="none"/>
          <w14:ligatures w14:val="none"/>
        </w:rPr>
      </w:pPr>
      <w:r>
        <w:rPr>
          <w:rFonts w:hint="eastAsia" w:ascii="方正小标宋_GBK" w:hAnsi="黑体" w:eastAsia="方正小标宋_GBK" w:cs="宋体"/>
          <w:b w:val="0"/>
          <w:bCs w:val="0"/>
          <w:color w:val="000000"/>
          <w:kern w:val="0"/>
          <w:sz w:val="22"/>
          <w:szCs w:val="22"/>
          <w:highlight w:val="none"/>
          <w:lang w:val="en-US" w:eastAsia="zh-CN"/>
          <w14:ligatures w14:val="none"/>
        </w:rPr>
        <w:t>《成都市金牛区妇幼保健院</w:t>
      </w:r>
      <w:r>
        <w:rPr>
          <w:rFonts w:hint="eastAsia" w:ascii="方正小标宋_GBK" w:hAnsi="黑体" w:eastAsia="方正小标宋_GBK" w:cs="宋体"/>
          <w:b w:val="0"/>
          <w:bCs w:val="0"/>
          <w:color w:val="000000"/>
          <w:kern w:val="0"/>
          <w:sz w:val="22"/>
          <w:szCs w:val="22"/>
          <w:highlight w:val="none"/>
          <w14:ligatures w14:val="none"/>
        </w:rPr>
        <w:t>后勤保障设施/设备维护保养服务质量考核表</w:t>
      </w:r>
      <w:r>
        <w:rPr>
          <w:rFonts w:hint="eastAsia" w:ascii="宋体" w:hAnsi="宋体" w:eastAsia="宋体" w:cs="宋体"/>
          <w:b w:val="0"/>
          <w:bCs w:val="0"/>
          <w:color w:val="000000"/>
          <w:sz w:val="21"/>
          <w:szCs w:val="21"/>
          <w:highlight w:val="none"/>
          <w:lang w:val="en-US" w:eastAsia="zh-CN"/>
        </w:rPr>
        <w:t>》</w:t>
      </w:r>
    </w:p>
    <w:tbl>
      <w:tblPr>
        <w:tblStyle w:val="6"/>
        <w:tblW w:w="8414" w:type="dxa"/>
        <w:tblInd w:w="0" w:type="dxa"/>
        <w:tblLayout w:type="fixed"/>
        <w:tblCellMar>
          <w:top w:w="0" w:type="dxa"/>
          <w:left w:w="108" w:type="dxa"/>
          <w:bottom w:w="0" w:type="dxa"/>
          <w:right w:w="108" w:type="dxa"/>
        </w:tblCellMar>
      </w:tblPr>
      <w:tblGrid>
        <w:gridCol w:w="456"/>
        <w:gridCol w:w="2468"/>
        <w:gridCol w:w="3231"/>
        <w:gridCol w:w="862"/>
        <w:gridCol w:w="1397"/>
      </w:tblGrid>
      <w:tr>
        <w:tblPrEx>
          <w:tblLayout w:type="fixed"/>
          <w:tblCellMar>
            <w:top w:w="0" w:type="dxa"/>
            <w:left w:w="108" w:type="dxa"/>
            <w:bottom w:w="0" w:type="dxa"/>
            <w:right w:w="108" w:type="dxa"/>
          </w:tblCellMar>
        </w:tblPrEx>
        <w:trPr>
          <w:trHeight w:val="413" w:hRule="atLeast"/>
        </w:trPr>
        <w:tc>
          <w:tcPr>
            <w:tcW w:w="8414" w:type="dxa"/>
            <w:gridSpan w:val="5"/>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小标宋_GBK" w:hAnsi="黑体" w:eastAsia="方正小标宋_GBK" w:cs="宋体"/>
                <w:color w:val="000000"/>
                <w:kern w:val="0"/>
                <w:sz w:val="22"/>
                <w:szCs w:val="22"/>
                <w:highlight w:val="none"/>
                <w14:ligatures w14:val="none"/>
              </w:rPr>
            </w:pPr>
            <w:r>
              <w:rPr>
                <w:rFonts w:hint="eastAsia" w:ascii="方正小标宋_GBK" w:hAnsi="黑体" w:eastAsia="方正小标宋_GBK" w:cs="宋体"/>
                <w:color w:val="000000"/>
                <w:kern w:val="0"/>
                <w:sz w:val="22"/>
                <w:szCs w:val="22"/>
                <w:highlight w:val="none"/>
                <w14:ligatures w14:val="none"/>
              </w:rPr>
              <w:t>成都市金牛区妇幼保健院</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小标宋_GBK" w:hAnsi="黑体" w:eastAsia="方正小标宋_GBK" w:cs="宋体"/>
                <w:color w:val="000000"/>
                <w:kern w:val="0"/>
                <w:sz w:val="22"/>
                <w:szCs w:val="22"/>
                <w:highlight w:val="none"/>
                <w14:ligatures w14:val="none"/>
              </w:rPr>
            </w:pPr>
            <w:r>
              <w:rPr>
                <w:rFonts w:hint="eastAsia" w:ascii="方正小标宋_GBK" w:hAnsi="黑体" w:eastAsia="方正小标宋_GBK" w:cs="宋体"/>
                <w:color w:val="000000"/>
                <w:kern w:val="0"/>
                <w:sz w:val="22"/>
                <w:szCs w:val="22"/>
                <w:highlight w:val="none"/>
                <w14:ligatures w14:val="none"/>
              </w:rPr>
              <w:t>后勤保障设施/设备维护保养服务质量考核表</w:t>
            </w:r>
          </w:p>
        </w:tc>
      </w:tr>
      <w:tr>
        <w:tblPrEx>
          <w:tblLayout w:type="fixed"/>
          <w:tblCellMar>
            <w:top w:w="0" w:type="dxa"/>
            <w:left w:w="108" w:type="dxa"/>
            <w:bottom w:w="0" w:type="dxa"/>
            <w:right w:w="108" w:type="dxa"/>
          </w:tblCellMar>
        </w:tblPrEx>
        <w:trPr>
          <w:trHeight w:val="549" w:hRule="atLeast"/>
        </w:trPr>
        <w:tc>
          <w:tcPr>
            <w:tcW w:w="84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方正仿宋_GBK" w:hAnsi="黑体" w:eastAsia="方正仿宋_GBK" w:cs="宋体"/>
                <w:color w:val="000000"/>
                <w:kern w:val="0"/>
                <w:sz w:val="18"/>
                <w:szCs w:val="16"/>
                <w:highlight w:val="none"/>
                <w14:ligatures w14:val="none"/>
              </w:rPr>
            </w:pPr>
            <w:r>
              <w:rPr>
                <w:rFonts w:hint="eastAsia" w:ascii="方正仿宋_GBK" w:hAnsi="黑体" w:eastAsia="方正仿宋_GBK" w:cs="宋体"/>
                <w:color w:val="000000"/>
                <w:kern w:val="0"/>
                <w:sz w:val="20"/>
                <w:szCs w:val="20"/>
                <w:highlight w:val="none"/>
                <w14:ligatures w14:val="none"/>
              </w:rPr>
              <w:t>项目名称:</w:t>
            </w:r>
            <w:r>
              <w:rPr>
                <w:rFonts w:hint="eastAsia" w:ascii="方正仿宋_GBK" w:hAnsi="黑体" w:eastAsia="方正仿宋_GBK" w:cs="宋体"/>
                <w:color w:val="000000"/>
                <w:kern w:val="0"/>
                <w:sz w:val="20"/>
                <w:szCs w:val="20"/>
                <w:highlight w:val="none"/>
                <w:u w:val="single"/>
                <w14:ligatures w14:val="none"/>
              </w:rPr>
              <w:t xml:space="preserve">                      </w:t>
            </w:r>
            <w:r>
              <w:rPr>
                <w:rFonts w:hint="eastAsia" w:ascii="方正仿宋_GBK" w:hAnsi="黑体" w:eastAsia="方正仿宋_GBK" w:cs="宋体"/>
                <w:color w:val="000000"/>
                <w:kern w:val="0"/>
                <w:sz w:val="20"/>
                <w:szCs w:val="20"/>
                <w:highlight w:val="none"/>
                <w14:ligatures w14:val="none"/>
              </w:rPr>
              <w:t xml:space="preserve">    种类: </w:t>
            </w:r>
            <w:r>
              <w:rPr>
                <w:rFonts w:hint="eastAsia" w:ascii="方正仿宋_GBK" w:hAnsi="黑体" w:eastAsia="方正仿宋_GBK" w:cs="宋体"/>
                <w:color w:val="000000"/>
                <w:kern w:val="0"/>
                <w:sz w:val="20"/>
                <w:szCs w:val="20"/>
                <w:highlight w:val="none"/>
                <w:u w:val="single"/>
                <w14:ligatures w14:val="none"/>
              </w:rPr>
              <w:t xml:space="preserve">                     </w:t>
            </w:r>
            <w:r>
              <w:rPr>
                <w:rFonts w:hint="eastAsia" w:ascii="方正仿宋_GBK" w:hAnsi="黑体" w:eastAsia="方正仿宋_GBK" w:cs="宋体"/>
                <w:color w:val="000000"/>
                <w:kern w:val="0"/>
                <w:sz w:val="20"/>
                <w:szCs w:val="20"/>
                <w:highlight w:val="none"/>
                <w:u w:val="none"/>
                <w:lang w:val="en-US" w:eastAsia="zh-CN"/>
                <w14:ligatures w14:val="none"/>
              </w:rPr>
              <w:t xml:space="preserve">  </w:t>
            </w:r>
            <w:r>
              <w:rPr>
                <w:rFonts w:hint="eastAsia" w:ascii="方正仿宋_GBK" w:hAnsi="黑体" w:eastAsia="方正仿宋_GBK" w:cs="宋体"/>
                <w:color w:val="000000"/>
                <w:kern w:val="0"/>
                <w:sz w:val="20"/>
                <w:szCs w:val="20"/>
                <w:highlight w:val="none"/>
                <w14:ligatures w14:val="none"/>
              </w:rPr>
              <w:t xml:space="preserve">考核时间: </w:t>
            </w:r>
            <w:r>
              <w:rPr>
                <w:rFonts w:hint="eastAsia" w:ascii="方正仿宋_GBK" w:hAnsi="黑体" w:eastAsia="方正仿宋_GBK" w:cs="宋体"/>
                <w:color w:val="000000"/>
                <w:kern w:val="0"/>
                <w:sz w:val="20"/>
                <w:szCs w:val="20"/>
                <w:highlight w:val="none"/>
                <w:u w:val="single"/>
                <w14:ligatures w14:val="none"/>
              </w:rPr>
              <w:t xml:space="preserve">                       </w:t>
            </w:r>
          </w:p>
        </w:tc>
      </w:tr>
      <w:tr>
        <w:tblPrEx>
          <w:tblLayout w:type="fixed"/>
          <w:tblCellMar>
            <w:top w:w="0" w:type="dxa"/>
            <w:left w:w="108" w:type="dxa"/>
            <w:bottom w:w="0" w:type="dxa"/>
            <w:right w:w="108" w:type="dxa"/>
          </w:tblCellMar>
        </w:tblPrEx>
        <w:trPr>
          <w:trHeight w:val="311"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黑体" w:hAnsi="黑体" w:eastAsia="黑体" w:cs="宋体"/>
                <w:color w:val="000000"/>
                <w:kern w:val="0"/>
                <w:sz w:val="18"/>
                <w:szCs w:val="16"/>
                <w:highlight w:val="none"/>
                <w14:ligatures w14:val="none"/>
              </w:rPr>
            </w:pPr>
            <w:r>
              <w:rPr>
                <w:rFonts w:hint="eastAsia" w:ascii="黑体" w:hAnsi="黑体" w:eastAsia="黑体" w:cs="宋体"/>
                <w:color w:val="000000"/>
                <w:kern w:val="0"/>
                <w:sz w:val="18"/>
                <w:szCs w:val="16"/>
                <w:highlight w:val="none"/>
                <w14:ligatures w14:val="none"/>
              </w:rPr>
              <w:t>序号</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黑体" w:hAnsi="黑体" w:eastAsia="黑体" w:cs="宋体"/>
                <w:color w:val="000000"/>
                <w:kern w:val="0"/>
                <w:sz w:val="18"/>
                <w:szCs w:val="16"/>
                <w:highlight w:val="none"/>
                <w14:ligatures w14:val="none"/>
              </w:rPr>
            </w:pPr>
            <w:r>
              <w:rPr>
                <w:rFonts w:hint="eastAsia" w:ascii="黑体" w:hAnsi="黑体" w:eastAsia="黑体" w:cs="宋体"/>
                <w:color w:val="000000"/>
                <w:kern w:val="0"/>
                <w:sz w:val="18"/>
                <w:szCs w:val="16"/>
                <w:highlight w:val="none"/>
                <w14:ligatures w14:val="none"/>
              </w:rPr>
              <w:t>考核内容</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黑体" w:hAnsi="黑体" w:eastAsia="黑体" w:cs="宋体"/>
                <w:color w:val="000000"/>
                <w:kern w:val="0"/>
                <w:sz w:val="18"/>
                <w:szCs w:val="16"/>
                <w:highlight w:val="none"/>
                <w14:ligatures w14:val="none"/>
              </w:rPr>
            </w:pPr>
            <w:r>
              <w:rPr>
                <w:rFonts w:hint="eastAsia" w:ascii="黑体" w:hAnsi="黑体" w:eastAsia="黑体" w:cs="宋体"/>
                <w:color w:val="000000"/>
                <w:kern w:val="0"/>
                <w:sz w:val="18"/>
                <w:szCs w:val="16"/>
                <w:highlight w:val="none"/>
                <w14:ligatures w14:val="none"/>
              </w:rPr>
              <w:t>考核标准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黑体" w:hAnsi="黑体" w:eastAsia="黑体" w:cs="宋体"/>
                <w:color w:val="000000"/>
                <w:kern w:val="0"/>
                <w:sz w:val="18"/>
                <w:szCs w:val="16"/>
                <w:highlight w:val="none"/>
                <w14:ligatures w14:val="none"/>
              </w:rPr>
            </w:pPr>
            <w:r>
              <w:rPr>
                <w:rFonts w:hint="eastAsia" w:ascii="黑体" w:hAnsi="黑体" w:eastAsia="黑体" w:cs="宋体"/>
                <w:color w:val="000000"/>
                <w:kern w:val="0"/>
                <w:sz w:val="18"/>
                <w:szCs w:val="16"/>
                <w:highlight w:val="none"/>
                <w14:ligatures w14:val="none"/>
              </w:rPr>
              <w:t>分值</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黑体" w:hAnsi="黑体" w:eastAsia="黑体" w:cs="宋体"/>
                <w:color w:val="000000"/>
                <w:kern w:val="0"/>
                <w:sz w:val="18"/>
                <w:szCs w:val="16"/>
                <w:highlight w:val="none"/>
                <w14:ligatures w14:val="none"/>
              </w:rPr>
            </w:pPr>
            <w:r>
              <w:rPr>
                <w:rFonts w:hint="eastAsia" w:ascii="黑体" w:hAnsi="黑体" w:eastAsia="黑体" w:cs="宋体"/>
                <w:color w:val="000000"/>
                <w:kern w:val="0"/>
                <w:sz w:val="18"/>
                <w:szCs w:val="16"/>
                <w:highlight w:val="none"/>
                <w14:ligatures w14:val="none"/>
              </w:rPr>
              <w:t>考核得分</w:t>
            </w:r>
          </w:p>
        </w:tc>
      </w:tr>
      <w:tr>
        <w:tblPrEx>
          <w:tblLayout w:type="fixed"/>
          <w:tblCellMar>
            <w:top w:w="0" w:type="dxa"/>
            <w:left w:w="108" w:type="dxa"/>
            <w:bottom w:w="0" w:type="dxa"/>
            <w:right w:w="108" w:type="dxa"/>
          </w:tblCellMar>
        </w:tblPrEx>
        <w:trPr>
          <w:trHeight w:val="329"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制定有月度/季度/年度的维护方案及作业计划。</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未制定维护方案或计划，发现一处扣1分。最多不超过5分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452"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2</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按照维护方案和作业计划要求定期对设施/设备进行维护保养。</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未按照方案和计划时间对设备进行维护保养，每延迟一天扣1分。最多不超过 10分。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97"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3</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抢修及时，接报故障后在合同规定的时间内及时到达现场。</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抢修不及时，接报后未在合同约定时间到达现场，每延迟1小时扣1分，最多不超过5分。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84"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4</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确系无法立即修复的故障，应及时通报项目管理人员，设施/设备停止运行无法修复不将故障的抢修状况通报项目管理人员</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未将故障情况和抢修状况通报项目管理人员,发生1次扣1分。最多不超过5分。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02"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维保记录齐全、记录填写规范。</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维保记录不齐全或填写不规范，一处扣2分，最多不超过,10分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7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6</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保证设施/设备运行正常，并确保通过国家相关部门的定期/不定期检查/抽查。</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整改后通过抽查，未影响甲方使用的 扣1分，整改后通过，影响甲方使用扣3分，整改后未通过按照合同约定10分。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56"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7</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机房及设施\设备表面不得有集尘、杂物。</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机房及设施/设备表面有明显集尘或杂物，有一处扣1分，最多不超过5分。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403"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8</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维护人员作业时严格遵守国家安全生产的相关法律法规，现场必须设立警示标示，严禁违章作业。</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维护人员违章作业或施工现场未设立警示标示，未造成严重后果一处扣1分。最多不超过5分。</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97"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9</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维护人员进入现场后行为规范服从项目上的管理，严禁抽烟随地吐痰等不文明行为。</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维护人员进入现场衣装不整、不服从项目管理、抽烟、随地吐痰等，发现一处扣1分，最多不超过</w:t>
            </w:r>
            <w:r>
              <w:rPr>
                <w:rFonts w:hint="eastAsia" w:ascii="方正仿宋_GBK" w:hAnsi="等线" w:eastAsia="方正仿宋_GBK" w:cs="宋体"/>
                <w:color w:val="000000"/>
                <w:kern w:val="0"/>
                <w:sz w:val="15"/>
                <w:szCs w:val="15"/>
                <w:highlight w:val="none"/>
                <w:lang w:val="en-US" w:eastAsia="zh-CN"/>
                <w14:ligatures w14:val="none"/>
              </w:rPr>
              <w:t>5</w:t>
            </w:r>
            <w:r>
              <w:rPr>
                <w:rFonts w:hint="eastAsia" w:ascii="方正仿宋_GBK" w:hAnsi="方正仿宋_GBK" w:eastAsia="方正仿宋_GBK" w:cs="方正仿宋_GBK"/>
                <w:color w:val="000000"/>
                <w:kern w:val="0"/>
                <w:sz w:val="15"/>
                <w:szCs w:val="15"/>
                <w:highlight w:val="none"/>
                <w14:ligatures w14:val="none"/>
              </w:rPr>
              <w:t>分</w:t>
            </w:r>
            <w:r>
              <w:rPr>
                <w:rFonts w:hint="eastAsia" w:ascii="方正仿宋_GBK" w:hAnsi="等线" w:eastAsia="方正仿宋_GBK" w:cs="宋体"/>
                <w:color w:val="000000"/>
                <w:kern w:val="0"/>
                <w:sz w:val="15"/>
                <w:szCs w:val="15"/>
                <w:highlight w:val="none"/>
                <w14:ligatures w14:val="none"/>
              </w:rPr>
              <w:t>。</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404"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维护人员施工完成后应清洁现场环境，不得将施工工具或施工产生的垃圾遗留现场。</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施工完毕后未清理现场或将施工工具遗留现场,有一处扣1分，最多不超过5分。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291"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11</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对不合格服务及时进行整改。</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未按要求及时完成整改和反馈一处扣1分，最多不超过5分。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5</w:t>
            </w:r>
          </w:p>
        </w:tc>
        <w:tc>
          <w:tcPr>
            <w:tcW w:w="1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264"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12</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有效投诉处理。</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甲方接到他方对乙方的有效投诉一次扣5分，最多不超过10分、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241"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13</w:t>
            </w:r>
          </w:p>
        </w:tc>
        <w:tc>
          <w:tcPr>
            <w:tcW w:w="24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现场维保人员必须持证上岗。</w:t>
            </w:r>
          </w:p>
        </w:tc>
        <w:tc>
          <w:tcPr>
            <w:tcW w:w="32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发现一人一次扣5分,以此类推，直到扣完。</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309"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14</w:t>
            </w:r>
          </w:p>
        </w:tc>
        <w:tc>
          <w:tcPr>
            <w:tcW w:w="24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在接受消防部门定期/不定期检查不合格。</w:t>
            </w:r>
          </w:p>
        </w:tc>
        <w:tc>
          <w:tcPr>
            <w:tcW w:w="32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发现不合格，一次扣10分.并承担消防部门所有的处罚金额及任何责任。</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10</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291" w:hRule="atLeast"/>
        </w:trPr>
        <w:tc>
          <w:tcPr>
            <w:tcW w:w="701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考核得分</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等线" w:hAnsi="等线" w:eastAsia="等线" w:cs="宋体"/>
                <w:color w:val="000000"/>
                <w:kern w:val="0"/>
                <w:sz w:val="15"/>
                <w:szCs w:val="15"/>
                <w:highlight w:val="none"/>
                <w14:ligatures w14:val="none"/>
              </w:rPr>
            </w:pPr>
            <w:r>
              <w:rPr>
                <w:rFonts w:hint="eastAsia" w:ascii="等线" w:hAnsi="等线" w:eastAsia="等线" w:cs="宋体"/>
                <w:color w:val="000000"/>
                <w:kern w:val="0"/>
                <w:sz w:val="15"/>
                <w:szCs w:val="15"/>
                <w:highlight w:val="none"/>
                <w14:ligatures w14:val="none"/>
              </w:rPr>
              <w:t>　</w:t>
            </w:r>
          </w:p>
        </w:tc>
      </w:tr>
      <w:tr>
        <w:tblPrEx>
          <w:tblLayout w:type="fixed"/>
          <w:tblCellMar>
            <w:top w:w="0" w:type="dxa"/>
            <w:left w:w="108" w:type="dxa"/>
            <w:bottom w:w="0" w:type="dxa"/>
            <w:right w:w="108" w:type="dxa"/>
          </w:tblCellMar>
        </w:tblPrEx>
        <w:trPr>
          <w:trHeight w:val="2055" w:hRule="atLeast"/>
        </w:trPr>
        <w:tc>
          <w:tcPr>
            <w:tcW w:w="8414"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highlight w:val="none"/>
              </w:rPr>
            </w:pP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考核结果确认签字及盖章:</w:t>
            </w:r>
            <w:r>
              <w:rPr>
                <w:rFonts w:hint="eastAsia" w:ascii="方正仿宋_GBK" w:hAnsi="等线" w:eastAsia="方正仿宋_GBK" w:cs="宋体"/>
                <w:color w:val="000000"/>
                <w:kern w:val="0"/>
                <w:sz w:val="15"/>
                <w:szCs w:val="15"/>
                <w:highlight w:val="none"/>
                <w14:ligatures w14:val="none"/>
              </w:rPr>
              <w:br w:type="page"/>
            </w: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 xml:space="preserve">甲方代表：(项目部负责人)               </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   </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乙 </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 方：</w:t>
            </w:r>
            <w:r>
              <w:rPr>
                <w:rFonts w:hint="eastAsia" w:ascii="方正仿宋_GBK" w:hAnsi="等线" w:eastAsia="方正仿宋_GBK" w:cs="宋体"/>
                <w:color w:val="000000"/>
                <w:kern w:val="0"/>
                <w:sz w:val="15"/>
                <w:szCs w:val="15"/>
                <w:highlight w:val="none"/>
                <w14:ligatures w14:val="none"/>
              </w:rPr>
              <w:br w:type="page"/>
            </w:r>
            <w:r>
              <w:rPr>
                <w:rFonts w:hint="eastAsia" w:ascii="方正仿宋_GBK" w:hAnsi="等线" w:eastAsia="方正仿宋_GBK" w:cs="宋体"/>
                <w:color w:val="000000"/>
                <w:kern w:val="0"/>
                <w:sz w:val="15"/>
                <w:szCs w:val="15"/>
                <w:highlight w:val="none"/>
                <w14:ligatures w14:val="none"/>
              </w:rPr>
              <w:t xml:space="preserve"> </w:t>
            </w: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kern w:val="0"/>
                <w:sz w:val="15"/>
                <w:szCs w:val="15"/>
                <w:highlight w:val="none"/>
                <w14:ligatures w14:val="none"/>
              </w:rPr>
              <w:t xml:space="preserve">签字确认:                                </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 签字确认:</w:t>
            </w:r>
            <w:r>
              <w:rPr>
                <w:rFonts w:hint="eastAsia" w:ascii="方正仿宋_GBK" w:hAnsi="等线" w:eastAsia="方正仿宋_GBK" w:cs="宋体"/>
                <w:color w:val="000000"/>
                <w:kern w:val="0"/>
                <w:sz w:val="15"/>
                <w:szCs w:val="15"/>
                <w:highlight w:val="none"/>
                <w14:ligatures w14:val="none"/>
              </w:rPr>
              <w:br w:type="page"/>
            </w: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eastAsia"/>
                <w:highlight w:val="none"/>
              </w:rPr>
            </w:pPr>
            <w:r>
              <w:rPr>
                <w:rFonts w:hint="eastAsia" w:ascii="方正仿宋_GBK" w:hAnsi="等线" w:eastAsia="方正仿宋_GBK" w:cs="宋体"/>
                <w:color w:val="000000"/>
                <w:kern w:val="0"/>
                <w:sz w:val="15"/>
                <w:szCs w:val="15"/>
                <w:highlight w:val="none"/>
                <w14:ligatures w14:val="none"/>
              </w:rPr>
              <w:t xml:space="preserve">日  期：                                 </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日</w:t>
            </w:r>
            <w:r>
              <w:rPr>
                <w:rFonts w:hint="eastAsia" w:ascii="方正仿宋_GBK" w:hAnsi="等线" w:eastAsia="方正仿宋_GBK" w:cs="宋体"/>
                <w:color w:val="000000"/>
                <w:kern w:val="0"/>
                <w:sz w:val="15"/>
                <w:szCs w:val="15"/>
                <w:highlight w:val="none"/>
                <w:lang w:val="en-US" w:eastAsia="zh-CN"/>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  期：</w:t>
            </w:r>
          </w:p>
        </w:tc>
      </w:tr>
      <w:tr>
        <w:tblPrEx>
          <w:tblLayout w:type="fixed"/>
          <w:tblCellMar>
            <w:top w:w="0" w:type="dxa"/>
            <w:left w:w="108" w:type="dxa"/>
            <w:bottom w:w="0" w:type="dxa"/>
            <w:right w:w="108" w:type="dxa"/>
          </w:tblCellMar>
        </w:tblPrEx>
        <w:trPr>
          <w:trHeight w:val="2152" w:hRule="atLeast"/>
        </w:trPr>
        <w:tc>
          <w:tcPr>
            <w:tcW w:w="8414"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pPr>
            <w:r>
              <w:rPr>
                <w:rFonts w:hint="eastAsia" w:ascii="方正仿宋_GBK" w:hAnsi="等线" w:eastAsia="方正仿宋_GBK" w:cs="宋体"/>
                <w:color w:val="000000"/>
                <w:kern w:val="0"/>
                <w:sz w:val="15"/>
                <w:szCs w:val="15"/>
                <w:highlight w:val="none"/>
                <w14:ligatures w14:val="none"/>
              </w:rPr>
              <w:t>1、 严格按照《设施/设备维护保养服务质量考核细则》进行考核。</w:t>
            </w:r>
            <w:r>
              <w:rPr>
                <w:rFonts w:hint="eastAsia" w:ascii="方正仿宋_GBK" w:hAnsi="等线" w:eastAsia="方正仿宋_GBK" w:cs="宋体"/>
                <w:color w:val="000000"/>
                <w:kern w:val="0"/>
                <w:sz w:val="15"/>
                <w:szCs w:val="15"/>
                <w:highlight w:val="none"/>
                <w14:ligatures w14:val="none"/>
              </w:rPr>
              <w:br w:type="textWrapping"/>
            </w:r>
            <w:r>
              <w:rPr>
                <w:rFonts w:hint="eastAsia" w:ascii="方正仿宋_GBK" w:hAnsi="等线" w:eastAsia="方正仿宋_GBK" w:cs="宋体"/>
                <w:color w:val="000000"/>
                <w:kern w:val="0"/>
                <w:sz w:val="15"/>
                <w:szCs w:val="15"/>
                <w:highlight w:val="none"/>
                <w14:ligatures w14:val="none"/>
              </w:rPr>
              <w:t>2、 具体扣罚标准:</w:t>
            </w:r>
            <w:r>
              <w:rPr>
                <w:rFonts w:hint="eastAsia" w:ascii="方正仿宋_GBK" w:hAnsi="等线" w:eastAsia="方正仿宋_GBK" w:cs="宋体"/>
                <w:color w:val="000000"/>
                <w:kern w:val="0"/>
                <w:sz w:val="15"/>
                <w:szCs w:val="15"/>
                <w:highlight w:val="none"/>
                <w14:ligatures w14:val="none"/>
              </w:rPr>
              <w:br w:type="textWrapping"/>
            </w:r>
            <w:r>
              <w:rPr>
                <w:rFonts w:hint="eastAsia" w:ascii="方正仿宋_GBK" w:hAnsi="等线" w:eastAsia="方正仿宋_GBK" w:cs="宋体"/>
                <w:color w:val="000000"/>
                <w:kern w:val="0"/>
                <w:sz w:val="15"/>
                <w:szCs w:val="15"/>
                <w:highlight w:val="none"/>
                <w14:ligatures w14:val="none"/>
              </w:rPr>
              <w:t>2.1 《</w:t>
            </w:r>
            <w:r>
              <w:rPr>
                <w:rFonts w:hint="eastAsia" w:ascii="方正仿宋_GBK" w:hAnsi="等线" w:eastAsia="方正仿宋_GBK" w:cs="宋体"/>
                <w:color w:val="000000"/>
                <w:kern w:val="0"/>
                <w:sz w:val="15"/>
                <w:szCs w:val="15"/>
                <w:highlight w:val="none"/>
                <w:lang w:val="en-US" w:eastAsia="zh-CN"/>
                <w14:ligatures w14:val="none"/>
              </w:rPr>
              <w:t>后勤保障</w:t>
            </w:r>
            <w:r>
              <w:rPr>
                <w:rFonts w:hint="eastAsia" w:ascii="方正仿宋_GBK" w:hAnsi="等线" w:eastAsia="方正仿宋_GBK" w:cs="宋体"/>
                <w:color w:val="000000"/>
                <w:kern w:val="0"/>
                <w:sz w:val="15"/>
                <w:szCs w:val="15"/>
                <w:highlight w:val="none"/>
                <w14:ligatures w14:val="none"/>
              </w:rPr>
              <w:t>设施/设备维护保养服务质量考核细则》合计总分100分。</w:t>
            </w:r>
            <w:r>
              <w:rPr>
                <w:rFonts w:hint="eastAsia" w:ascii="方正仿宋_GBK" w:hAnsi="等线" w:eastAsia="方正仿宋_GBK" w:cs="宋体"/>
                <w:color w:val="000000"/>
                <w:kern w:val="0"/>
                <w:sz w:val="15"/>
                <w:szCs w:val="15"/>
                <w:highlight w:val="none"/>
                <w14:ligatures w14:val="none"/>
              </w:rPr>
              <w:br w:type="textWrapping"/>
            </w:r>
            <w:r>
              <w:rPr>
                <w:rFonts w:hint="eastAsia" w:ascii="方正仿宋_GBK" w:hAnsi="等线" w:eastAsia="方正仿宋_GBK" w:cs="宋体"/>
                <w:color w:val="000000"/>
                <w:kern w:val="0"/>
                <w:sz w:val="15"/>
                <w:szCs w:val="15"/>
                <w:highlight w:val="none"/>
                <w14:ligatures w14:val="none"/>
              </w:rPr>
              <w:t xml:space="preserve">2.2  </w:t>
            </w:r>
            <w:r>
              <w:rPr>
                <w:rFonts w:hint="eastAsia" w:ascii="方正仿宋_GBK" w:hAnsi="等线" w:eastAsia="方正仿宋_GBK" w:cs="宋体"/>
                <w:color w:val="000000"/>
                <w:kern w:val="0"/>
                <w:sz w:val="15"/>
                <w:szCs w:val="15"/>
                <w:highlight w:val="none"/>
                <w:lang w:val="en-US" w:eastAsia="zh-CN"/>
                <w14:ligatures w14:val="none"/>
              </w:rPr>
              <w:t>年度</w:t>
            </w:r>
            <w:r>
              <w:rPr>
                <w:rFonts w:hint="eastAsia" w:ascii="方正仿宋_GBK" w:hAnsi="等线" w:eastAsia="方正仿宋_GBK" w:cs="宋体"/>
                <w:color w:val="000000"/>
                <w:kern w:val="0"/>
                <w:sz w:val="15"/>
                <w:szCs w:val="15"/>
                <w:highlight w:val="none"/>
                <w14:ligatures w14:val="none"/>
              </w:rPr>
              <w:t>考核得分 9</w:t>
            </w:r>
            <w:r>
              <w:rPr>
                <w:rFonts w:hint="eastAsia" w:ascii="方正仿宋_GBK" w:hAnsi="等线" w:eastAsia="方正仿宋_GBK" w:cs="宋体"/>
                <w:color w:val="000000"/>
                <w:kern w:val="0"/>
                <w:sz w:val="15"/>
                <w:szCs w:val="15"/>
                <w:highlight w:val="none"/>
                <w:lang w:val="en-US" w:eastAsia="zh-CN"/>
                <w14:ligatures w14:val="none"/>
              </w:rPr>
              <w:t>0</w:t>
            </w:r>
            <w:r>
              <w:rPr>
                <w:rFonts w:hint="eastAsia" w:ascii="方正仿宋_GBK" w:hAnsi="等线" w:eastAsia="方正仿宋_GBK" w:cs="宋体"/>
                <w:color w:val="000000"/>
                <w:kern w:val="0"/>
                <w:sz w:val="15"/>
                <w:szCs w:val="15"/>
                <w:highlight w:val="none"/>
                <w14:ligatures w14:val="none"/>
              </w:rPr>
              <w:t>分及以上不扣罚。</w:t>
            </w:r>
            <w:r>
              <w:rPr>
                <w:rFonts w:hint="eastAsia" w:ascii="方正仿宋_GBK" w:hAnsi="等线" w:eastAsia="方正仿宋_GBK" w:cs="宋体"/>
                <w:color w:val="000000"/>
                <w:kern w:val="0"/>
                <w:sz w:val="15"/>
                <w:szCs w:val="15"/>
                <w:highlight w:val="none"/>
                <w14:ligatures w14:val="none"/>
              </w:rPr>
              <w:br w:type="textWrapping"/>
            </w:r>
            <w:r>
              <w:rPr>
                <w:rFonts w:hint="eastAsia" w:ascii="方正仿宋_GBK" w:hAnsi="等线" w:eastAsia="方正仿宋_GBK" w:cs="宋体"/>
                <w:color w:val="000000"/>
                <w:kern w:val="0"/>
                <w:sz w:val="15"/>
                <w:szCs w:val="15"/>
                <w:highlight w:val="none"/>
                <w14:ligatures w14:val="none"/>
              </w:rPr>
              <w:t xml:space="preserve">2.3 </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 xml:space="preserve"> </w:t>
            </w:r>
            <w:r>
              <w:rPr>
                <w:rFonts w:hint="eastAsia" w:ascii="方正仿宋_GBK" w:hAnsi="等线" w:eastAsia="方正仿宋_GBK" w:cs="宋体"/>
                <w:color w:val="000000"/>
                <w:kern w:val="0"/>
                <w:sz w:val="15"/>
                <w:szCs w:val="15"/>
                <w:highlight w:val="none"/>
                <w:lang w:val="en-US" w:eastAsia="zh-CN"/>
                <w14:ligatures w14:val="none"/>
              </w:rPr>
              <w:t>年度</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考核85分及以上，9</w:t>
            </w:r>
            <w:r>
              <w:rPr>
                <w:rFonts w:hint="eastAsia" w:ascii="方正仿宋_GBK" w:hAnsi="等线" w:eastAsia="方正仿宋_GBK" w:cs="宋体"/>
                <w:color w:val="000000" w:themeColor="text1"/>
                <w:kern w:val="0"/>
                <w:sz w:val="15"/>
                <w:szCs w:val="15"/>
                <w:highlight w:val="none"/>
                <w:lang w:val="en-US" w:eastAsia="zh-CN"/>
                <w14:textFill>
                  <w14:solidFill>
                    <w14:schemeClr w14:val="tx1"/>
                  </w14:solidFill>
                </w14:textFill>
                <w14:ligatures w14:val="none"/>
              </w:rPr>
              <w:t>0</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分以下按照每分200元进行扣罚服务费中扣除。</w:t>
            </w:r>
          </w:p>
          <w:p>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方正仿宋_GBK" w:hAnsi="等线" w:eastAsia="方正仿宋_GBK" w:cs="宋体"/>
                <w:color w:val="000000"/>
                <w:kern w:val="0"/>
                <w:sz w:val="15"/>
                <w:szCs w:val="15"/>
                <w:highlight w:val="none"/>
                <w14:ligatures w14:val="none"/>
              </w:rPr>
            </w:pP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 xml:space="preserve">2.4  </w:t>
            </w:r>
            <w:r>
              <w:rPr>
                <w:rFonts w:hint="eastAsia" w:ascii="方正仿宋_GBK" w:hAnsi="等线" w:eastAsia="方正仿宋_GBK" w:cs="宋体"/>
                <w:color w:val="000000"/>
                <w:kern w:val="0"/>
                <w:sz w:val="15"/>
                <w:szCs w:val="15"/>
                <w:highlight w:val="none"/>
                <w:lang w:val="en-US" w:eastAsia="zh-CN"/>
                <w14:ligatures w14:val="none"/>
              </w:rPr>
              <w:t>年度</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考核总分低于85分(不含85分)，认定为服务质量为不合格，按照每分400元进行扣罚从服务费中扣除。</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br w:type="textWrapping"/>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 xml:space="preserve">2.5  </w:t>
            </w:r>
            <w:r>
              <w:rPr>
                <w:rFonts w:hint="eastAsia" w:ascii="方正仿宋_GBK" w:hAnsi="等线" w:eastAsia="方正仿宋_GBK" w:cs="宋体"/>
                <w:color w:val="000000" w:themeColor="text1"/>
                <w:kern w:val="0"/>
                <w:sz w:val="15"/>
                <w:szCs w:val="15"/>
                <w:highlight w:val="none"/>
                <w:lang w:val="en-US" w:eastAsia="zh-CN"/>
                <w14:textFill>
                  <w14:solidFill>
                    <w14:schemeClr w14:val="tx1"/>
                  </w14:solidFill>
                </w14:textFill>
                <w14:ligatures w14:val="none"/>
              </w:rPr>
              <w:t>年度</w:t>
            </w:r>
            <w:r>
              <w:rPr>
                <w:rFonts w:hint="eastAsia" w:ascii="方正仿宋_GBK" w:hAnsi="等线" w:eastAsia="方正仿宋_GBK" w:cs="宋体"/>
                <w:color w:val="000000" w:themeColor="text1"/>
                <w:kern w:val="0"/>
                <w:sz w:val="15"/>
                <w:szCs w:val="15"/>
                <w:highlight w:val="none"/>
                <w14:textFill>
                  <w14:solidFill>
                    <w14:schemeClr w14:val="tx1"/>
                  </w14:solidFill>
                </w14:textFill>
                <w14:ligatures w14:val="none"/>
              </w:rPr>
              <w:t>考核低于75分(不含75分)且在规定时间内整改无效，甲方有权终止合同。</w:t>
            </w:r>
            <w:r>
              <w:rPr>
                <w:rFonts w:hint="eastAsia" w:ascii="方正仿宋_GBK" w:hAnsi="等线" w:eastAsia="方正仿宋_GBK" w:cs="宋体"/>
                <w:color w:val="FF0000"/>
                <w:kern w:val="0"/>
                <w:sz w:val="15"/>
                <w:szCs w:val="15"/>
                <w:highlight w:val="none"/>
                <w14:ligatures w14:val="none"/>
              </w:rPr>
              <w:t xml:space="preserve">  </w:t>
            </w:r>
            <w:r>
              <w:rPr>
                <w:rFonts w:hint="eastAsia" w:ascii="方正仿宋_GBK" w:hAnsi="等线" w:eastAsia="方正仿宋_GBK" w:cs="宋体"/>
                <w:color w:val="000000"/>
                <w:kern w:val="0"/>
                <w:sz w:val="15"/>
                <w:szCs w:val="15"/>
                <w:highlight w:val="none"/>
                <w14:ligatures w14:val="none"/>
              </w:rPr>
              <w:t xml:space="preserve"> </w:t>
            </w:r>
            <w:r>
              <w:rPr>
                <w:rFonts w:hint="eastAsia" w:ascii="方正仿宋_GBK" w:hAnsi="等线" w:eastAsia="方正仿宋_GBK" w:cs="宋体"/>
                <w:color w:val="000000"/>
                <w:kern w:val="0"/>
                <w:sz w:val="15"/>
                <w:szCs w:val="15"/>
                <w:highlight w:val="none"/>
                <w14:ligatures w14:val="none"/>
              </w:rPr>
              <w:br w:type="textWrapping"/>
            </w:r>
            <w:r>
              <w:rPr>
                <w:rFonts w:hint="eastAsia" w:ascii="方正仿宋_GBK" w:hAnsi="等线" w:eastAsia="方正仿宋_GBK" w:cs="宋体"/>
                <w:color w:val="000000"/>
                <w:kern w:val="0"/>
                <w:sz w:val="15"/>
                <w:szCs w:val="15"/>
                <w:highlight w:val="none"/>
                <w14:ligatures w14:val="none"/>
              </w:rPr>
              <w:t>2.6  各项问题若重复发生未及时处理的比选申请人将加倍扣罚，直到维保费扣完为止。</w:t>
            </w:r>
          </w:p>
        </w:tc>
      </w:tr>
    </w:tbl>
    <w:p>
      <w:pPr>
        <w:pStyle w:val="12"/>
        <w:ind w:left="0" w:leftChars="0" w:firstLine="0" w:firstLineChars="0"/>
        <w:rPr>
          <w:rFonts w:hint="eastAsia"/>
          <w:highlight w:val="none"/>
          <w:lang w:val="en-US" w:eastAsia="zh-CN"/>
        </w:rPr>
      </w:pPr>
    </w:p>
    <w:p>
      <w:pPr>
        <w:numPr>
          <w:ilvl w:val="0"/>
          <w:numId w:val="0"/>
        </w:numPr>
        <w:spacing w:line="570" w:lineRule="atLeast"/>
        <w:rPr>
          <w:rFonts w:hint="eastAsia" w:ascii="Times New Roman" w:hAnsi="Times New Roman" w:eastAsia="方正仿宋_GBK" w:cs="Times New Roman"/>
          <w:sz w:val="28"/>
          <w:szCs w:val="28"/>
          <w:highlight w:val="none"/>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eastAsia" w:ascii="Times New Roman" w:hAnsi="Times New Roman" w:eastAsia="方正仿宋_GBK" w:cs="Times New Roman"/>
          <w:sz w:val="28"/>
          <w:szCs w:val="28"/>
          <w:highlight w:val="none"/>
          <w14:ligatures w14:val="standardContextual"/>
        </w:rPr>
        <w:t>服务内容及要求</w:t>
      </w:r>
      <w:r>
        <w:rPr>
          <w:rFonts w:hint="eastAsia" w:ascii="Times New Roman" w:hAnsi="Times New Roman" w:eastAsia="方正仿宋_GBK" w:cs="Times New Roman"/>
          <w:sz w:val="28"/>
          <w:szCs w:val="28"/>
          <w:highlight w:val="none"/>
          <w:lang w:eastAsia="zh-CN"/>
          <w14:ligatures w14:val="standardContextua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服务范围：对二号楼共计8部电梯提供维保服务，其中直梯7部，杂物电梯1部,确保电梯/杂物电梯安全稳定的运行。维保服务方式为全包：提供维保所需工具和劳务，并免费提供单价500元内电梯维保所需的所有零部件及耗材，响应文件内附清单。更换的所有零部件及耗材必须是原厂制造（提供承诺函格式自拟）。</w:t>
      </w:r>
    </w:p>
    <w:p>
      <w:pPr>
        <w:pStyle w:val="5"/>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2.服务标准：《特种设备安全监察条例》，《GB/T 18775 电梯、 自动扶梯和自动人行道维修规范》，符合曳引与强制驱动电梯半月、季度、半年、年度维护保养项目(内容)和要求等国家标准及行业要求。</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3.按照国家电梯维护保养服务有关规范和要求派专业人员对电梯定期检查、测试、保养、维修，确保设备正安全运行，具体内容及要求如下：</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曳引与强制驱动电梯维护保养项目(内容)和要求</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firstLine="482" w:firstLineChars="200"/>
        <w:jc w:val="center"/>
        <w:textAlignment w:val="auto"/>
        <w:rPr>
          <w:rFonts w:hint="eastAsia" w:ascii="宋体" w:hAnsi="宋体" w:eastAsia="宋体" w:cs="宋体"/>
          <w:b/>
          <w:bCs/>
          <w:i w:val="0"/>
          <w:iCs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bCs/>
          <w:i w:val="0"/>
          <w:iCs w:val="0"/>
          <w:caps w:val="0"/>
          <w:color w:val="333333"/>
          <w:spacing w:val="0"/>
          <w:kern w:val="2"/>
          <w:sz w:val="24"/>
          <w:szCs w:val="24"/>
          <w:highlight w:val="none"/>
          <w:shd w:val="clear" w:color="auto" w:fill="FFFFFF"/>
          <w:lang w:val="en-US" w:eastAsia="zh-CN" w:bidi="ar-SA"/>
        </w:rPr>
        <w:t>半月维护保养项目(内容)和要求</w:t>
      </w:r>
    </w:p>
    <w:tbl>
      <w:tblPr>
        <w:tblStyle w:val="14"/>
        <w:tblW w:w="8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3545"/>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pStyle w:val="13"/>
              <w:spacing w:before="104" w:line="230" w:lineRule="auto"/>
              <w:ind w:left="283"/>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序号</w:t>
            </w:r>
          </w:p>
        </w:tc>
        <w:tc>
          <w:tcPr>
            <w:tcW w:w="3545" w:type="dxa"/>
            <w:noWrap w:val="0"/>
            <w:vAlign w:val="center"/>
          </w:tcPr>
          <w:p>
            <w:pPr>
              <w:pStyle w:val="13"/>
              <w:spacing w:before="103" w:line="185" w:lineRule="auto"/>
              <w:ind w:left="546"/>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维护保养项目(内容)</w:t>
            </w:r>
          </w:p>
        </w:tc>
        <w:tc>
          <w:tcPr>
            <w:tcW w:w="4275" w:type="dxa"/>
            <w:tcBorders>
              <w:right w:val="single" w:color="000000" w:sz="8" w:space="0"/>
            </w:tcBorders>
            <w:noWrap w:val="0"/>
            <w:vAlign w:val="center"/>
          </w:tcPr>
          <w:p>
            <w:pPr>
              <w:pStyle w:val="13"/>
              <w:spacing w:before="103" w:line="228" w:lineRule="auto"/>
              <w:ind w:left="10"/>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维护保养基本要求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736" w:type="dxa"/>
            <w:noWrap w:val="0"/>
            <w:vAlign w:val="center"/>
          </w:tcPr>
          <w:p>
            <w:pPr>
              <w:spacing w:before="124" w:line="171" w:lineRule="auto"/>
              <w:ind w:left="3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机房、滑轮间环境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清洁，门窗完好，照明正常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手动紧急操作装置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齐全，在指定位置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驱动主机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运行时无异常振动和异常声响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3" w:line="171" w:lineRule="auto"/>
              <w:ind w:left="357"/>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动作灵活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69" w:line="240" w:lineRule="auto"/>
              <w:ind w:left="36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制动器间隙</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打开时制动衬与制动轮不应发生摩擦，间隙值符合制造单位要求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70"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制动器作为轿厢意外移动保护</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装置制停子系统时的自监测</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制动力人工方式检测符合使用维护说明书要求；制动力自监测系统有记录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36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清洁，安装牢固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润滑，转动灵活； 电气开关正常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36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层门和轿门旁路装置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紧急电动运行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清洁，防护栏安全可靠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导靴上油杯</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吸油毛毡齐全，油量适宜，油杯无泄漏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对重/平衡重块及其压板</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对重/平衡重块无松动，压板紧固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井道照明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轿厢照明、风扇、应急照明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7"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轿内报警装置、对讲系统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轿内显示、指令按钮、IC 卡系统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轿门防撞击保护装置( 安全触板，光幕、光电等)</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开启和关闭工作正常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轿厢平层准确度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层站召唤、层楼显示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层门地坎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层门自动关门装置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7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层门门锁自动复位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用层门钥匙打开手动开锁装置释放后，层门门锁能自动复位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层门锁紧元件啮合长度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不小于 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清洁，无渗水、积水，照明正常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bl>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firstLine="640" w:firstLineChars="200"/>
        <w:textAlignment w:val="auto"/>
        <w:rPr>
          <w:rFonts w:hint="eastAsia" w:ascii="仿宋" w:hAnsi="仿宋" w:eastAsia="仿宋" w:cs="仿宋"/>
          <w:i w:val="0"/>
          <w:iCs w:val="0"/>
          <w:caps w:val="0"/>
          <w:color w:val="333333"/>
          <w:spacing w:val="0"/>
          <w:kern w:val="2"/>
          <w:sz w:val="32"/>
          <w:szCs w:val="32"/>
          <w:highlight w:val="none"/>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firstLine="562" w:firstLineChars="200"/>
        <w:jc w:val="center"/>
        <w:textAlignment w:val="auto"/>
        <w:rPr>
          <w:rFonts w:hint="eastAsia" w:ascii="仿宋" w:hAnsi="仿宋" w:eastAsia="仿宋" w:cs="仿宋"/>
          <w:i w:val="0"/>
          <w:iCs w:val="0"/>
          <w:caps w:val="0"/>
          <w:color w:val="333333"/>
          <w:spacing w:val="0"/>
          <w:kern w:val="2"/>
          <w:sz w:val="32"/>
          <w:szCs w:val="32"/>
          <w:highlight w:val="none"/>
          <w:shd w:val="clear" w:color="auto" w:fill="FFFFFF"/>
          <w:lang w:val="en-US" w:eastAsia="zh-CN" w:bidi="ar-SA"/>
        </w:rPr>
      </w:pPr>
      <w:r>
        <w:rPr>
          <w:rFonts w:hint="eastAsia" w:ascii="宋体" w:hAnsi="宋体" w:eastAsia="宋体" w:cs="宋体"/>
          <w:b/>
          <w:bCs/>
          <w:i w:val="0"/>
          <w:iCs w:val="0"/>
          <w:caps w:val="0"/>
          <w:color w:val="333333"/>
          <w:spacing w:val="0"/>
          <w:kern w:val="2"/>
          <w:sz w:val="28"/>
          <w:szCs w:val="28"/>
          <w:highlight w:val="none"/>
          <w:shd w:val="clear" w:color="auto" w:fill="FFFFFF"/>
          <w:lang w:val="en-US" w:eastAsia="zh-CN" w:bidi="ar-SA"/>
        </w:rPr>
        <w:t>季度维护保养项目(内容)和要求</w:t>
      </w:r>
    </w:p>
    <w:tbl>
      <w:tblPr>
        <w:tblStyle w:val="14"/>
        <w:tblW w:w="8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3470"/>
        <w:gridCol w:w="4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96" w:type="dxa"/>
            <w:noWrap w:val="0"/>
            <w:vAlign w:val="center"/>
          </w:tcPr>
          <w:p>
            <w:pPr>
              <w:pStyle w:val="13"/>
              <w:spacing w:before="104" w:line="230" w:lineRule="auto"/>
              <w:ind w:left="283"/>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序号</w:t>
            </w:r>
          </w:p>
        </w:tc>
        <w:tc>
          <w:tcPr>
            <w:tcW w:w="3470" w:type="dxa"/>
            <w:noWrap w:val="0"/>
            <w:vAlign w:val="center"/>
          </w:tcPr>
          <w:p>
            <w:pPr>
              <w:pStyle w:val="13"/>
              <w:spacing w:before="103" w:line="185" w:lineRule="auto"/>
              <w:ind w:left="546"/>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维护保养项目(内容)</w:t>
            </w:r>
          </w:p>
        </w:tc>
        <w:tc>
          <w:tcPr>
            <w:tcW w:w="4190" w:type="dxa"/>
            <w:tcBorders>
              <w:right w:val="single" w:color="000000" w:sz="8" w:space="0"/>
            </w:tcBorders>
            <w:noWrap w:val="0"/>
            <w:vAlign w:val="center"/>
          </w:tcPr>
          <w:p>
            <w:pPr>
              <w:pStyle w:val="13"/>
              <w:spacing w:before="103" w:line="228" w:lineRule="auto"/>
              <w:ind w:left="10"/>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维护保养基本要求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896" w:type="dxa"/>
            <w:noWrap w:val="0"/>
            <w:vAlign w:val="center"/>
          </w:tcPr>
          <w:p>
            <w:pPr>
              <w:spacing w:before="124" w:line="171" w:lineRule="auto"/>
              <w:ind w:left="3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机房、滑轮间环境</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清洁，门窗完好，照明正常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96" w:type="dxa"/>
            <w:noWrap w:val="0"/>
            <w:vAlign w:val="center"/>
          </w:tcPr>
          <w:p>
            <w:pPr>
              <w:spacing w:before="121" w:line="173" w:lineRule="auto"/>
              <w:ind w:left="36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手动紧急操作装置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齐全，在指定位置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96" w:type="dxa"/>
            <w:noWrap w:val="0"/>
            <w:vAlign w:val="center"/>
          </w:tcPr>
          <w:p>
            <w:pPr>
              <w:spacing w:before="121" w:line="173" w:lineRule="auto"/>
              <w:ind w:left="36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驱动主机</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运行时无异常振动和异常声响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96" w:type="dxa"/>
            <w:noWrap w:val="0"/>
            <w:vAlign w:val="center"/>
          </w:tcPr>
          <w:p>
            <w:pPr>
              <w:spacing w:before="123" w:line="171" w:lineRule="auto"/>
              <w:ind w:left="357"/>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制动器各销轴部位</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动作灵活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36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制动器间隙</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打开时制动衬与制动轮不应发生摩擦，间隙值符合制造单位要求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70"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制动器作为轿厢意外移动保护</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装置制停子系统时的自监测</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制动力人工方式检测符合使用维护说明书要求；制动力自监测系统有记录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36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清洁，安装牢固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8</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限速器各销轴部位</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润滑，转动灵活； 电气开关正常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36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9</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层门和轿门旁路装置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10</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紧急电动运行</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清洁，防护栏安全可靠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轿顶检修开关、停止装置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导靴上油杯</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吸油毛毡齐全，油量适宜，油杯无泄漏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对重/平衡重块及其压板</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对重/平衡重块无松动，压板紧固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15</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井道照明</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16</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轿厢照明、风扇、应急照明</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17</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轿厢检修开关、停止装置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7"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18</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轿内报警装置、对讲系统</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19</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轿内显示、指令按钮、IC 卡系统</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20</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轿门防撞击保护装置( 安全触板，光幕、光电等)</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21</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轿门门锁电气触点</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22</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轿门运行</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开启和关闭工作正常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23</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轿厢平层准确度</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24</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层站召唤、层楼显示</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25</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层门地坎</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26</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层门自动关门装置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7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27</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层门门锁自动复位</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用层门钥匙打开手动开锁装置释放后，层门门锁能自动复位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28</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层门门锁电气触点</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29</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层门锁紧元件啮合长度</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不小于 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30</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底坑环境</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清洁，无渗水、积水，照明正常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31</w:t>
            </w:r>
          </w:p>
        </w:tc>
        <w:tc>
          <w:tcPr>
            <w:tcW w:w="347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底坑停止装置</w:t>
            </w:r>
          </w:p>
        </w:tc>
        <w:tc>
          <w:tcPr>
            <w:tcW w:w="4190"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32</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减速机润滑油</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油量适宜，除蜗杆伸出端外均无渗漏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33</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制动衬</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34</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35</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选层器动静触点</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清洁，无烧蚀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36</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曳引轮槽、悬挂装置</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清洁，钢丝绳无严重油腻，张力均匀，符合制造单位要求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37</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限速器轮槽、限速器钢丝绳</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清洁，无严重油腻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38</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靴衬、滚轮</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39</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验证轿门关闭的电气安全装置</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40</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层门、轿门系统中传动钢丝绳链条、传动带</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按照制造单位要求进行清洁、调整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41</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层门门导靴</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42</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消防开关</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43</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耗能缓冲器</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电气安全装置功能有效，油量适宜，柱塞无锈蚀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9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44</w:t>
            </w:r>
          </w:p>
        </w:tc>
        <w:tc>
          <w:tcPr>
            <w:tcW w:w="3470"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限速器张紧轮装置和电气安全装置</w:t>
            </w:r>
          </w:p>
        </w:tc>
        <w:tc>
          <w:tcPr>
            <w:tcW w:w="4190"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bl>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textAlignment w:val="auto"/>
        <w:rPr>
          <w:rFonts w:hint="eastAsia"/>
          <w:spacing w:val="6"/>
          <w:position w:val="17"/>
          <w:sz w:val="16"/>
          <w:szCs w:val="16"/>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b/>
          <w:bCs/>
          <w:spacing w:val="6"/>
          <w:position w:val="17"/>
          <w:sz w:val="16"/>
          <w:szCs w:val="16"/>
          <w:highlight w:val="none"/>
          <w:lang w:val="en-US" w:eastAsia="zh-CN"/>
        </w:rPr>
      </w:pPr>
      <w:r>
        <w:rPr>
          <w:rFonts w:hint="eastAsia" w:ascii="宋体" w:hAnsi="宋体" w:eastAsia="宋体" w:cs="宋体"/>
          <w:b/>
          <w:bCs/>
          <w:spacing w:val="6"/>
          <w:position w:val="17"/>
          <w:sz w:val="28"/>
          <w:szCs w:val="28"/>
          <w:highlight w:val="none"/>
          <w:lang w:val="en-US" w:eastAsia="zh-CN"/>
        </w:rPr>
        <w:t>半年</w:t>
      </w:r>
      <w:r>
        <w:rPr>
          <w:rFonts w:hint="eastAsia" w:ascii="宋体" w:hAnsi="宋体" w:eastAsia="宋体" w:cs="宋体"/>
          <w:b/>
          <w:bCs/>
          <w:spacing w:val="6"/>
          <w:position w:val="17"/>
          <w:sz w:val="28"/>
          <w:szCs w:val="28"/>
          <w:highlight w:val="none"/>
        </w:rPr>
        <w:t>维护保养项目(内容)和要求</w:t>
      </w:r>
    </w:p>
    <w:tbl>
      <w:tblPr>
        <w:tblStyle w:val="14"/>
        <w:tblW w:w="8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3545"/>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pStyle w:val="13"/>
              <w:spacing w:before="104" w:line="230" w:lineRule="auto"/>
              <w:ind w:left="283"/>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序号</w:t>
            </w:r>
          </w:p>
        </w:tc>
        <w:tc>
          <w:tcPr>
            <w:tcW w:w="3545" w:type="dxa"/>
            <w:noWrap w:val="0"/>
            <w:vAlign w:val="center"/>
          </w:tcPr>
          <w:p>
            <w:pPr>
              <w:pStyle w:val="13"/>
              <w:spacing w:before="103" w:line="185" w:lineRule="auto"/>
              <w:ind w:left="546"/>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维护保养项目(内容)</w:t>
            </w:r>
          </w:p>
        </w:tc>
        <w:tc>
          <w:tcPr>
            <w:tcW w:w="4275" w:type="dxa"/>
            <w:tcBorders>
              <w:right w:val="single" w:color="000000" w:sz="8" w:space="0"/>
            </w:tcBorders>
            <w:noWrap w:val="0"/>
            <w:vAlign w:val="center"/>
          </w:tcPr>
          <w:p>
            <w:pPr>
              <w:pStyle w:val="13"/>
              <w:spacing w:before="103" w:line="228" w:lineRule="auto"/>
              <w:ind w:left="10"/>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维护保养基本要求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736" w:type="dxa"/>
            <w:noWrap w:val="0"/>
            <w:vAlign w:val="center"/>
          </w:tcPr>
          <w:p>
            <w:pPr>
              <w:spacing w:before="124" w:line="171" w:lineRule="auto"/>
              <w:ind w:left="3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机房、滑轮间环境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清洁，门窗完好，照明正常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手动紧急操作装置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齐全，在指定位置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驱动主机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运行时无异常振动和异常声响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3" w:line="171" w:lineRule="auto"/>
              <w:ind w:left="357"/>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动作灵活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36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制动器间隙</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打开时制动衬与制动轮不应发生摩擦，间隙值符合制造单位要求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70"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制动器作为轿厢意外移动保护</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装置制停子系统时的自监测</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制动力人工方式检测符合使用维护说明书要求；制动力自监测系统有记录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36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清洁，安装牢固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润滑，转动灵活； 电气开关正常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36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层门和轿门旁路装置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紧急电动运行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清洁，防护栏安全可靠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导靴上油杯</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吸油毛毡齐全，油量适宜，油杯无泄漏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对重/平衡重块及其压板</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对重/平衡重块无松动，压板紧固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井道照明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轿厢照明、风扇、应急照明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7"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轿内报警装置、对讲系统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轿内显示、指令按钮、IC 卡系统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69"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轿门防撞击保护装置( 安全触板，光幕、光电等)</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开启和关闭工作正常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轿厢平层准确度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层站召唤、层楼显示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层门地坎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层门自动关门装置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7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层门门锁自动复位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用层门钥匙打开手动开锁装置释放后，层门门锁能自动复位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层门锁紧元件啮合长度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不小于 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清洁，无渗水、积水，照明正常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32</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减速机润滑油</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油量适宜，除蜗杆伸出端外均无渗漏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33</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制动衬</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34</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35</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选层器动静触点</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清洁，无烧蚀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36</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曳引轮槽、悬挂装置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清洁，钢丝绳无严重油腻，张力均匀，符合制造单位要求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37</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限速器轮槽、限速器钢丝绳</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清洁，无严重油腻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38</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靴衬、滚轮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39</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验证轿门关闭的电气安全装置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40</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层门、轿门系统中传动钢丝绳链条、传动带</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按照制造单位要求进行清洁、调整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41</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层门门导靴</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42</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消防开关</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43</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耗能缓冲器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电气安全装置功能有效，油量适宜，柱塞无锈蚀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44</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限速器张紧轮装置和电气安全装置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45</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电动机与减速机联轴器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连接无松动，弹性元件外观良好，无老化等现象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46</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驱动轮、导向轮轴承部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无异常声响，无振动，润滑良好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47</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曳引轮槽</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48</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制动器动作状态监测装置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工作正常，制动器动作可靠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49</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控制柜内各接线端子</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各接线紧固、整齐，线号齐全清晰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50</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控制柜各仪表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显示正常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51</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井道、对重、轿顶各反绳轮轴承部</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无异常声响，无振动，润滑良好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52</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悬挂装置、补偿绳</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磨损量、断丝数不超过要求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53</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绳头组合</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螺母无松动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54</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限速器钢丝绳</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磨损量、断丝数不超过制造单位要求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55</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层门、轿门门扇</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门扇各相关间隙符合标准值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56</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轿门开门限制装置</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57</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对重缓冲距离</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58</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补偿链(绳)与轿厢、对重接合处</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固定，无松动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59</w:t>
            </w:r>
          </w:p>
        </w:tc>
        <w:tc>
          <w:tcPr>
            <w:tcW w:w="3545" w:type="dxa"/>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上、下极限开关</w:t>
            </w:r>
          </w:p>
        </w:tc>
        <w:tc>
          <w:tcPr>
            <w:tcW w:w="4275" w:type="dxa"/>
            <w:tcBorders>
              <w:right w:val="single" w:color="000000" w:sz="8" w:space="0"/>
            </w:tcBorders>
            <w:noWrap w:val="0"/>
            <w:vAlign w:val="top"/>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w:t>
            </w:r>
          </w:p>
        </w:tc>
      </w:tr>
    </w:tbl>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textAlignment w:val="auto"/>
        <w:rPr>
          <w:rFonts w:hint="eastAsia"/>
          <w:spacing w:val="6"/>
          <w:position w:val="17"/>
          <w:sz w:val="16"/>
          <w:szCs w:val="16"/>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textAlignment w:val="auto"/>
        <w:rPr>
          <w:rFonts w:hint="eastAsia"/>
          <w:spacing w:val="6"/>
          <w:position w:val="17"/>
          <w:sz w:val="16"/>
          <w:szCs w:val="16"/>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textAlignment w:val="auto"/>
        <w:rPr>
          <w:rFonts w:hint="eastAsia"/>
          <w:spacing w:val="6"/>
          <w:position w:val="17"/>
          <w:sz w:val="16"/>
          <w:szCs w:val="16"/>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textAlignment w:val="auto"/>
        <w:rPr>
          <w:rFonts w:hint="eastAsia"/>
          <w:spacing w:val="6"/>
          <w:position w:val="17"/>
          <w:sz w:val="16"/>
          <w:szCs w:val="16"/>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b/>
          <w:bCs/>
          <w:spacing w:val="6"/>
          <w:position w:val="17"/>
          <w:sz w:val="16"/>
          <w:szCs w:val="16"/>
          <w:highlight w:val="none"/>
          <w:lang w:val="en-US" w:eastAsia="zh-CN"/>
        </w:rPr>
      </w:pPr>
      <w:r>
        <w:rPr>
          <w:rFonts w:hint="eastAsia" w:ascii="宋体" w:hAnsi="宋体" w:eastAsia="宋体" w:cs="宋体"/>
          <w:b/>
          <w:bCs/>
          <w:spacing w:val="6"/>
          <w:position w:val="17"/>
          <w:sz w:val="28"/>
          <w:szCs w:val="28"/>
          <w:highlight w:val="none"/>
          <w:lang w:val="en-US" w:eastAsia="zh-CN"/>
        </w:rPr>
        <w:t>年度维护保养项目(内容)和要求</w:t>
      </w:r>
    </w:p>
    <w:tbl>
      <w:tblPr>
        <w:tblStyle w:val="14"/>
        <w:tblW w:w="8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3545"/>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pStyle w:val="13"/>
              <w:spacing w:before="104" w:line="230" w:lineRule="auto"/>
              <w:ind w:left="283"/>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序号</w:t>
            </w:r>
          </w:p>
        </w:tc>
        <w:tc>
          <w:tcPr>
            <w:tcW w:w="3545" w:type="dxa"/>
            <w:noWrap w:val="0"/>
            <w:vAlign w:val="center"/>
          </w:tcPr>
          <w:p>
            <w:pPr>
              <w:pStyle w:val="13"/>
              <w:spacing w:before="103" w:line="185" w:lineRule="auto"/>
              <w:ind w:left="546"/>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维护保养项目(内容)</w:t>
            </w:r>
          </w:p>
        </w:tc>
        <w:tc>
          <w:tcPr>
            <w:tcW w:w="4275" w:type="dxa"/>
            <w:tcBorders>
              <w:right w:val="single" w:color="000000" w:sz="8" w:space="0"/>
            </w:tcBorders>
            <w:noWrap w:val="0"/>
            <w:vAlign w:val="center"/>
          </w:tcPr>
          <w:p>
            <w:pPr>
              <w:pStyle w:val="13"/>
              <w:spacing w:before="103" w:line="228" w:lineRule="auto"/>
              <w:ind w:left="10"/>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维护保养基本要求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736" w:type="dxa"/>
            <w:noWrap w:val="0"/>
            <w:vAlign w:val="center"/>
          </w:tcPr>
          <w:p>
            <w:pPr>
              <w:spacing w:before="124" w:line="171" w:lineRule="auto"/>
              <w:ind w:left="3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机房、滑轮间环境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清洁，门窗完好，照明正常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手动紧急操作装置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齐全，在指定位置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1" w:line="173" w:lineRule="auto"/>
              <w:ind w:left="36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驱动主机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运行时无异常振动和异常声响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36" w:type="dxa"/>
            <w:noWrap w:val="0"/>
            <w:vAlign w:val="center"/>
          </w:tcPr>
          <w:p>
            <w:pPr>
              <w:spacing w:before="123" w:line="171" w:lineRule="auto"/>
              <w:ind w:left="357"/>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动作灵活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36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制动器间隙</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打开时制动衬与制动轮不应发生摩擦，间隙值符合制造单位要求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70"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制动器作为轿厢意外移动保护</w:t>
            </w:r>
          </w:p>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装置制停子系统时的自监测</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制动力人工方式检测符合使用维护说明书要求；制动力自监测系统有记录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36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清洁，安装牢固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361"/>
              <w:jc w:val="center"/>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限速器各销轴部位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润滑，转动灵活； 电气开关正常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36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层门和轿门旁路装置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紧急电动运行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清洁，防护栏安全可靠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轿顶检修开关、停止装置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导靴上油杯</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吸油毛毡齐全，油量适宜，油杯无泄漏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对重/平衡重块及其压板</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对重/平衡重块无松动，压板紧固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井道照明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齐全，正常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轿厢照明、风扇、应急照明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3" w:line="240" w:lineRule="auto"/>
              <w:ind w:left="284"/>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轿厢检修开关、停止装置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7"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轿内报警装置、对讲系统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7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sz w:val="21"/>
                <w:szCs w:val="21"/>
                <w:highlight w:val="none"/>
              </w:rPr>
              <w:t>19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轿内显示、指令按钮、IC 卡系统</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轿门防撞击保护装置( 安全触板，光幕、光电等)</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轿门运行</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开启和关闭工作正常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2"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轿厢平层准确度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层站召唤、层楼显示</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齐全，有效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层门地坎</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层门自动关门装置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7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层门门锁自动复位</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用层门钥匙打开手动开锁装置释放后，层门门锁能自动复位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1"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层门门锁电气触点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清洁，触点接触良好，接线可靠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4"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sz w:val="21"/>
                <w:szCs w:val="21"/>
                <w:highlight w:val="none"/>
              </w:rPr>
              <w:t>29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层门锁紧元件啮合长度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不小于 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底坑环境</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清洁，无渗水、积水，照明正常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120" w:line="240" w:lineRule="auto"/>
              <w:ind w:left="265"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rPr>
              <w:t>31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底坑停止装置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en-US"/>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减速机润滑油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油量适宜，除蜗杆伸出端外均无渗漏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制动衬</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编码器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选层器动静触点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清洁，无烧蚀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曳引轮槽、悬挂装置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清洁，钢丝绳无严重油腻，张力均匀，符合制造单位要求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限速器轮槽、限速器钢丝绳</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清洁，无严重油腻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靴衬、滚轮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清洁，磨损量不超过制造单位要求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39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验证轿门关闭的电气安全装置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层门、轿门系统中传动钢丝绳链条、传动带</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按照制造单位要求进行清洁、调整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层门门导靴</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消防开关</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工作正常，功能有效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耗能缓冲器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电气安全装置功能有效，油量适宜，柱塞无锈蚀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限速器张紧轮装置和电气安全装置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电动机与减速机联轴器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连接无松动，弹性元件外观良好，无老化等现象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驱动轮、导向轮轴承部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无异常声响，无振动，润滑良好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曳引轮槽</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制动器动作状态监测装置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工作正常，制动器动作可靠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49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控制柜内各接线端子</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各接线紧固、整齐，线号齐全清晰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控制柜各仪表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显示正常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井道、对重、轿顶各反绳轮轴承部</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无异常声响，无振动，润滑良好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悬挂装置、补偿绳</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磨损量、断丝数不超过要求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绳头组合</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螺母无松动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限速器钢丝绳</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磨损量、断丝数不超过制造单位要求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55</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层门、轿门门扇</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门扇各相关间隙符合标准值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56</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轿门开门限制装置</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57</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对重缓冲距离</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符合标准值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58</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补偿链(绳)与轿厢、对重接合处</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固定，无松动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59</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上、下极限开关</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工作正常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60</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减速机润滑油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按照制造单位要求适时更换，保证油质符要求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61</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控制柜接触器、继电器触点</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接触良好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62</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制动器铁芯(柱塞)</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进行清洁、润滑、检查，磨损量不超过制造单位要求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63</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制动器制动能力</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符合制造单位要求，保持有足够的制动力，必要时进行轿厢装载 125%额定载重量的制 动试验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736"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jc w:val="center"/>
              <w:textAlignment w:val="auto"/>
              <w:rPr>
                <w:rFonts w:hint="eastAsia" w:ascii="宋体" w:hAnsi="宋体" w:eastAsia="宋体" w:cs="宋体"/>
                <w:spacing w:val="6"/>
                <w:position w:val="17"/>
                <w:sz w:val="21"/>
                <w:szCs w:val="21"/>
                <w:highlight w:val="none"/>
                <w:lang w:val="en-US" w:eastAsia="zh-CN"/>
              </w:rPr>
            </w:pPr>
            <w:r>
              <w:rPr>
                <w:rFonts w:hint="eastAsia" w:ascii="宋体" w:hAnsi="宋体" w:eastAsia="宋体" w:cs="宋体"/>
                <w:spacing w:val="6"/>
                <w:position w:val="17"/>
                <w:sz w:val="21"/>
                <w:szCs w:val="21"/>
                <w:highlight w:val="none"/>
                <w:lang w:val="en-US" w:eastAsia="zh-CN"/>
              </w:rPr>
              <w:t>64</w:t>
            </w:r>
          </w:p>
        </w:tc>
        <w:tc>
          <w:tcPr>
            <w:tcW w:w="354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导电回路绝缘性能测试</w:t>
            </w:r>
          </w:p>
        </w:tc>
        <w:tc>
          <w:tcPr>
            <w:tcW w:w="4275" w:type="dxa"/>
            <w:tcBorders>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103" w:line="240" w:lineRule="auto"/>
              <w:ind w:left="15" w:leftChars="0"/>
              <w:jc w:val="center"/>
              <w:textAlignment w:val="auto"/>
              <w:rPr>
                <w:rFonts w:hint="eastAsia" w:ascii="宋体" w:hAnsi="宋体" w:eastAsia="宋体" w:cs="宋体"/>
                <w:spacing w:val="6"/>
                <w:kern w:val="2"/>
                <w:position w:val="17"/>
                <w:sz w:val="21"/>
                <w:szCs w:val="21"/>
                <w:highlight w:val="none"/>
                <w:lang w:val="en-US" w:eastAsia="en-US" w:bidi="ar-SA"/>
              </w:rPr>
            </w:pPr>
            <w:r>
              <w:rPr>
                <w:rFonts w:hint="eastAsia" w:ascii="宋体" w:hAnsi="宋体" w:eastAsia="宋体" w:cs="宋体"/>
                <w:spacing w:val="6"/>
                <w:position w:val="17"/>
                <w:sz w:val="21"/>
                <w:szCs w:val="21"/>
                <w:highlight w:val="none"/>
              </w:rPr>
              <w:t>符合标准</w:t>
            </w:r>
          </w:p>
        </w:tc>
      </w:tr>
    </w:tbl>
    <w:p>
      <w:pPr>
        <w:pStyle w:val="5"/>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14:ligatures w14:val="standardContextual"/>
        </w:rPr>
      </w:pPr>
    </w:p>
    <w:p>
      <w:pPr>
        <w:pStyle w:val="5"/>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4.其他</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要求：</w:t>
      </w:r>
    </w:p>
    <w:p>
      <w:pPr>
        <w:pStyle w:val="13"/>
        <w:numPr>
          <w:ilvl w:val="0"/>
          <w:numId w:val="0"/>
        </w:numPr>
        <w:spacing w:line="240" w:lineRule="auto"/>
        <w:ind w:firstLine="280" w:firstLineChars="100"/>
        <w:jc w:val="both"/>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（1）公司维保人员必须严格按照国家规则及其有关安全技术规范以及电梯产品安装使用维护说明书的要求，制定维保方案，确保其维保电梯的安全性能。</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设立24h维保值班电话，保证接到故障通知后及时予以排除，接到电梯困人故障报告后，维修人员及时抵达所维保电梯所在地实施现场救援，抵达时间不超过30min。维修人员应取得经特种设备安全监督管理部门考核合格的《特种设备作业人员证》或《特种设备安全管理和作业人员证》。</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每年度至少进行1次自行检查，自行检查在特种设备检验检测机构进行定期检验之前进行，自行检查项目根据使用状况情况决定，但是不少于本规则年度维保和电梯定期检验规定的项目及内容，并且向使用单位出具有自行检查和审核人员的签字、加盖维保单位公章或者其他专用章的自行检查记录或者报告。供应商在电梯安全检验合格有效期满前一个月对维保电梯进行自检，向市场监管局检测机构申报电梯年检并进行组织工作，取得合格检测报告，供应商承担年检费用。</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（4）维保人员必须配合特种设备检验检测机构进行电梯定期的年度检验，一年至少两次应急演练。</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5）在维保过程中，如果发现事故隐患及时告知电梯使用单位；发现严重事故隐患，及时向当地质量技术监督部门报告。在维保期间，发生安全事故由采购人组建的事故调查组进行判断，如因供应商维保管理缺陷原因造成的安全事故及电梯困人事件由供应商负责。</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（6）保持机房、轿顶、底坑卫生，做到机房无杂物并张贴困人应急救援流程，轿顶无明显油污，轿厢张贴维保信息表并保证照明良好，底坑卫生保持干净无废油。</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（7）每次维保都签署维保记录，并告知使用方管理员电梯运行情况以及是否更换材料。</w:t>
      </w:r>
    </w:p>
    <w:p>
      <w:pPr>
        <w:pStyle w:val="13"/>
        <w:numPr>
          <w:ilvl w:val="0"/>
          <w:numId w:val="0"/>
        </w:numPr>
        <w:spacing w:before="104" w:line="228" w:lineRule="auto"/>
        <w:ind w:firstLine="280" w:firstLineChars="100"/>
        <w:jc w:val="both"/>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（8）供应商在维护保养中应严格执行安全技术规范的要求，保证其维护保养的电梯的安全性能，并负责落实现场安全防护措施，保证施工安全；对其维护保养的定的安全性能负责。</w:t>
      </w:r>
    </w:p>
    <w:p>
      <w:pPr>
        <w:spacing w:line="360" w:lineRule="auto"/>
        <w:ind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（9）维保人员应耐心听取客户意见，对客户的要求和提出的问题进行分析采纳，保证电梯的安全运行。</w:t>
      </w:r>
    </w:p>
    <w:p>
      <w:pPr>
        <w:pStyle w:val="12"/>
        <w:ind w:left="0" w:leftChars="0" w:firstLine="280" w:firstLineChars="100"/>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（10）供应商资质和证件应在中标后需在本地市场监督管理局报备。</w:t>
      </w:r>
    </w:p>
    <w:p>
      <w:pPr>
        <w:snapToGrid w:val="0"/>
        <w:spacing w:line="360" w:lineRule="auto"/>
        <w:ind w:firstLine="280" w:firstLineChars="100"/>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（11）电梯配件的更换需为全新配件。</w:t>
      </w:r>
    </w:p>
    <w:p>
      <w:pPr>
        <w:snapToGrid w:val="0"/>
        <w:spacing w:line="360" w:lineRule="auto"/>
        <w:ind w:firstLine="280" w:firstLineChars="100"/>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（12）供应商应常备易损易耗件，故障恢复时间最长不能超过48小时，超过48小时未恢复(不含定做配件所需的时间)支付违约金1000元，此后每延长1小时在1000元基础上再支付违约金500元/小时，以此类推。</w:t>
      </w:r>
    </w:p>
    <w:p>
      <w:pPr>
        <w:pStyle w:val="13"/>
        <w:spacing w:before="104" w:line="228" w:lineRule="auto"/>
        <w:ind w:firstLine="280" w:firstLineChars="100"/>
        <w:jc w:val="both"/>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（13）维保记录是记载电梯运行、维护、保养的依据。每台电梯均应当建立独立的维保记录。维保记录应当一式两份，双方各保存一份，维修与抢修记录均应当长期保存。</w:t>
      </w:r>
    </w:p>
    <w:p>
      <w:pPr>
        <w:pStyle w:val="13"/>
        <w:spacing w:before="104" w:line="228" w:lineRule="auto"/>
        <w:ind w:firstLine="280" w:firstLineChars="100"/>
        <w:jc w:val="both"/>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（14）其它约定按附件国家规定严格完成执行。</w:t>
      </w: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ascii="Times New Roman" w:hAnsi="Times New Roman" w:cs="Times New Roman"/>
          <w:highlight w:val="none"/>
        </w:rPr>
      </w:pPr>
    </w:p>
    <w:p>
      <w:pPr>
        <w:pStyle w:val="3"/>
        <w:spacing w:line="570" w:lineRule="atLeast"/>
        <w:rPr>
          <w:highlight w:val="none"/>
        </w:rPr>
      </w:pPr>
    </w:p>
    <w:p>
      <w:pPr>
        <w:pStyle w:val="3"/>
        <w:spacing w:line="570" w:lineRule="atLeast"/>
        <w:rPr>
          <w:highlight w:val="none"/>
        </w:rPr>
      </w:pPr>
    </w:p>
    <w:p>
      <w:pPr>
        <w:spacing w:line="570" w:lineRule="atLeast"/>
        <w:rPr>
          <w:rFonts w:ascii="Times New Roman" w:hAnsi="Times New Roman" w:cs="Times New Roman"/>
          <w:highlight w:val="none"/>
        </w:rPr>
      </w:pPr>
    </w:p>
    <w:p>
      <w:pPr>
        <w:pStyle w:val="3"/>
        <w:spacing w:line="570" w:lineRule="atLeast"/>
        <w:rPr>
          <w:highlight w:val="none"/>
        </w:rPr>
      </w:pPr>
    </w:p>
    <w:p>
      <w:pPr>
        <w:pStyle w:val="3"/>
        <w:spacing w:line="570" w:lineRule="atLeast"/>
        <w:rPr>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6"/>
        <w:tblW w:w="8287" w:type="dxa"/>
        <w:tblInd w:w="5" w:type="dxa"/>
        <w:shd w:val="clear" w:color="auto" w:fill="FFFFFF"/>
        <w:tblLayout w:type="fixed"/>
        <w:tblCellMar>
          <w:top w:w="0" w:type="dxa"/>
          <w:left w:w="0" w:type="dxa"/>
          <w:bottom w:w="0" w:type="dxa"/>
          <w:right w:w="0" w:type="dxa"/>
        </w:tblCellMar>
      </w:tblPr>
      <w:tblGrid>
        <w:gridCol w:w="750"/>
        <w:gridCol w:w="1496"/>
        <w:gridCol w:w="1485"/>
        <w:gridCol w:w="1169"/>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序号</w:t>
            </w:r>
          </w:p>
        </w:tc>
        <w:tc>
          <w:tcPr>
            <w:tcW w:w="14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产品</w:t>
            </w:r>
          </w:p>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名称</w:t>
            </w:r>
          </w:p>
        </w:tc>
        <w:tc>
          <w:tcPr>
            <w:tcW w:w="14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品牌</w:t>
            </w:r>
          </w:p>
        </w:tc>
        <w:tc>
          <w:tcPr>
            <w:tcW w:w="11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总价（元）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1</w:t>
            </w:r>
          </w:p>
        </w:tc>
        <w:tc>
          <w:tcPr>
            <w:tcW w:w="14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客梯</w:t>
            </w:r>
          </w:p>
        </w:tc>
        <w:tc>
          <w:tcPr>
            <w:tcW w:w="14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hint="eastAsia"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OTIS</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GEN2</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7</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2</w:t>
            </w:r>
          </w:p>
        </w:tc>
        <w:tc>
          <w:tcPr>
            <w:tcW w:w="14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送餐电梯</w:t>
            </w:r>
          </w:p>
        </w:tc>
        <w:tc>
          <w:tcPr>
            <w:tcW w:w="14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德州旭森</w:t>
            </w:r>
          </w:p>
        </w:tc>
        <w:tc>
          <w:tcPr>
            <w:tcW w:w="116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hint="eastAsia"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hint="eastAsia" w:ascii="Times New Roman" w:hAnsi="Times New Roman" w:eastAsia="仿宋_GB2312" w:cs="Times New Roman"/>
                <w:color w:val="333333"/>
                <w:kern w:val="0"/>
                <w:sz w:val="28"/>
                <w:szCs w:val="28"/>
                <w:highlight w:val="none"/>
              </w:rPr>
            </w:pPr>
            <w:r>
              <w:rPr>
                <w:rFonts w:hint="eastAsia" w:ascii="Times New Roman" w:hAnsi="Times New Roman" w:eastAsia="仿宋_GB2312" w:cs="Times New Roman"/>
                <w:color w:val="333333"/>
                <w:kern w:val="0"/>
                <w:sz w:val="28"/>
                <w:szCs w:val="28"/>
                <w:highlight w:val="none"/>
              </w:rPr>
              <w:t>1</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元</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2.“品目及报价表”为多页的，每页均需由法定代表人或授权代表签字并盖投标人印章。</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3.如有多种规格，请按每种规格分别报价。</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3"/>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3"/>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3"/>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3"/>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（制造商家名称）是在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4"/>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2" w:name="_Toc237343703"/>
      <w:bookmarkStart w:id="3" w:name="_Toc95295163"/>
      <w:bookmarkStart w:id="4" w:name="_Toc17476723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2"/>
      <w:bookmarkEnd w:id="3"/>
      <w:bookmarkEnd w:id="4"/>
    </w:p>
    <w:p>
      <w:pPr>
        <w:spacing w:line="570" w:lineRule="atLeast"/>
        <w:rPr>
          <w:rFonts w:ascii="Times New Roman" w:hAnsi="Times New Roman" w:eastAsia="方正仿宋_GBK" w:cs="Times New Roman"/>
          <w:highlight w:val="none"/>
        </w:rPr>
      </w:pPr>
    </w:p>
    <w:p>
      <w:pPr>
        <w:pStyle w:val="3"/>
        <w:spacing w:line="570" w:lineRule="atLeast"/>
        <w:rPr>
          <w:rFonts w:eastAsia="方正仿宋_GBK"/>
          <w:sz w:val="32"/>
          <w:szCs w:val="32"/>
          <w:highlight w:val="none"/>
        </w:rPr>
      </w:pPr>
    </w:p>
    <w:p>
      <w:pPr>
        <w:spacing w:after="120" w:line="570" w:lineRule="atLeast"/>
        <w:jc w:val="center"/>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r>
        <w:rPr>
          <w:rFonts w:hint="default" w:ascii="Times New Roman" w:hAnsi="Times New Roman" w:eastAsia="方正小标宋_GBK" w:cs="Times New Roman"/>
          <w:color w:val="000000"/>
          <w:kern w:val="2"/>
          <w:sz w:val="28"/>
          <w:szCs w:val="22"/>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rPr>
        <w:t>日期：   年    月    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9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autoSpaceDE w:val="0"/>
      <w:autoSpaceDN w:val="0"/>
      <w:spacing w:line="360" w:lineRule="auto"/>
      <w:jc w:val="left"/>
      <w:outlineLvl w:val="3"/>
    </w:pPr>
    <w:rPr>
      <w:rFonts w:ascii="黑体" w:hAnsi="黑体" w:eastAsia="黑体" w:cs="黑体"/>
      <w:b/>
      <w:bCs/>
      <w:kern w:val="0"/>
      <w:sz w:val="24"/>
      <w:szCs w:val="28"/>
      <w:lang w:val="zh-CN" w:bidi="zh-CN"/>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宋体" w:cs="Times New Roman"/>
      <w:szCs w:val="22"/>
    </w:r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font11"/>
    <w:qFormat/>
    <w:uiPriority w:val="0"/>
    <w:rPr>
      <w:rFonts w:hint="eastAsia" w:ascii="仿宋" w:hAnsi="仿宋" w:eastAsia="仿宋" w:cs="仿宋"/>
      <w:color w:val="000000"/>
      <w:sz w:val="24"/>
      <w:szCs w:val="24"/>
      <w:u w:val="none"/>
    </w:rPr>
  </w:style>
  <w:style w:type="character" w:customStyle="1" w:styleId="10">
    <w:name w:val="font21"/>
    <w:qFormat/>
    <w:uiPriority w:val="0"/>
    <w:rPr>
      <w:rFonts w:hint="eastAsia" w:ascii="宋体" w:hAnsi="宋体" w:eastAsia="宋体" w:cs="宋体"/>
      <w:color w:val="000000"/>
      <w:sz w:val="21"/>
      <w:szCs w:val="21"/>
      <w:u w:val="none"/>
    </w:rPr>
  </w:style>
  <w:style w:type="paragraph" w:customStyle="1" w:styleId="1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
    <w:name w:val="首行缩进"/>
    <w:basedOn w:val="1"/>
    <w:qFormat/>
    <w:uiPriority w:val="0"/>
    <w:pPr>
      <w:ind w:firstLine="480" w:firstLineChars="200"/>
    </w:pPr>
    <w:rPr>
      <w:lang w:val="zh-CN"/>
    </w:rPr>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table" w:customStyle="1" w:styleId="1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2025-07-03T01:46:57Z</dcterms:created>
  <dc:creator>OS</dc:creator>
  <cp:lastModifiedBy>們泊冬吴@^_^</cp:lastModifiedBy>
  <dcterms:modified xsi:type="dcterms:W3CDTF">2025-07-03T01:49:55Z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