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喷砂仪、根管治疗仪采购项目（第二次）</w:t>
      </w:r>
      <w:bookmarkStart w:id="3" w:name="_GoBack"/>
      <w:bookmarkEnd w:id="3"/>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1单价限价0.8万元</w:t>
      </w:r>
      <w:r>
        <w:rPr>
          <w:rFonts w:hint="eastAsia"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14:ligatures w14:val="standardContextual"/>
        </w:rPr>
        <w:t>喷砂仪</w:t>
      </w:r>
      <w:r>
        <w:rPr>
          <w:rFonts w:hint="eastAsia" w:ascii="Times New Roman" w:hAnsi="Times New Roman" w:eastAsia="方正仿宋_GBK" w:cs="Times New Roman"/>
          <w:kern w:val="2"/>
          <w:sz w:val="28"/>
          <w:szCs w:val="28"/>
          <w:highlight w:val="none"/>
          <w:lang w:val="en-US" w:eastAsia="zh-CN" w:bidi="ar-SA"/>
          <w14:ligatures w14:val="standardContextual"/>
        </w:rPr>
        <w:t>2单价限价0.8万元；根管治疗仪单价限价0.6万元</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w:t>
      </w:r>
    </w:p>
    <w:p>
      <w:pPr>
        <w:ind w:firstLine="560" w:firstLineChars="200"/>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1：数量1台，</w:t>
      </w:r>
      <w:r>
        <w:rPr>
          <w:rFonts w:hint="eastAsia" w:ascii="Times New Roman" w:hAnsi="Times New Roman"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2：数量1台，根管治疗仪：数量2台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widowControl/>
        <w:numPr>
          <w:ilvl w:val="0"/>
          <w:numId w:val="0"/>
        </w:numPr>
        <w:adjustRightInd w:val="0"/>
        <w:snapToGrid w:val="0"/>
        <w:spacing w:line="360" w:lineRule="auto"/>
        <w:jc w:val="lef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02"/>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en-US" w:eastAsia="zh-CN"/>
              </w:rPr>
              <w:br w:type="page"/>
            </w:r>
            <w:r>
              <w:rPr>
                <w:rFonts w:hint="eastAsia" w:ascii="方正仿宋_GBK" w:hAnsi="方正仿宋_GBK" w:eastAsia="方正仿宋_GBK" w:cs="方正仿宋_GBK"/>
                <w:b/>
                <w:bCs w:val="0"/>
                <w:sz w:val="24"/>
                <w:szCs w:val="24"/>
                <w:highlight w:val="none"/>
                <w:lang w:val="zh-CN" w:eastAsia="zh-CN"/>
              </w:rPr>
              <w:t>序号</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内容</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1</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项目完成时间</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采购合同签订后</w:t>
            </w:r>
            <w:r>
              <w:rPr>
                <w:rFonts w:hint="eastAsia" w:ascii="方正仿宋_GBK" w:hAnsi="方正仿宋_GBK" w:eastAsia="方正仿宋_GBK" w:cs="方正仿宋_GBK"/>
                <w:b w:val="0"/>
                <w:bCs/>
                <w:sz w:val="24"/>
                <w:szCs w:val="24"/>
                <w:highlight w:val="none"/>
                <w:lang w:val="en-US" w:eastAsia="zh-CN"/>
              </w:rPr>
              <w:t>30</w:t>
            </w:r>
            <w:r>
              <w:rPr>
                <w:rFonts w:hint="eastAsia" w:ascii="方正仿宋_GBK" w:hAnsi="方正仿宋_GBK" w:eastAsia="方正仿宋_GBK" w:cs="方正仿宋_GBK"/>
                <w:b w:val="0"/>
                <w:bCs/>
                <w:sz w:val="24"/>
                <w:szCs w:val="24"/>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2</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项目实施地点</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3</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售后服务期</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整机质保2年</w:t>
            </w:r>
            <w:r>
              <w:rPr>
                <w:rFonts w:hint="eastAsia" w:ascii="方正仿宋_GBK" w:hAnsi="方正仿宋_GBK" w:eastAsia="方正仿宋_GBK" w:cs="方正仿宋_GBK"/>
                <w:b w:val="0"/>
                <w:bCs/>
                <w:sz w:val="24"/>
                <w:szCs w:val="24"/>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5</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合同价款支付</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zh-CN"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1</w:t>
            </w:r>
            <w:r>
              <w:rPr>
                <w:rFonts w:hint="eastAsia" w:ascii="方正仿宋_GBK" w:hAnsi="方正仿宋_GBK" w:eastAsia="方正仿宋_GBK" w:cs="方正仿宋_GBK"/>
                <w:b w:val="0"/>
                <w:bCs/>
                <w:sz w:val="24"/>
                <w:szCs w:val="24"/>
                <w:highlight w:val="none"/>
                <w:lang w:val="zh-CN" w:eastAsia="zh-CN"/>
              </w:rPr>
              <w:t>）项目实施完成验收合格</w:t>
            </w:r>
            <w:r>
              <w:rPr>
                <w:rFonts w:hint="eastAsia" w:ascii="方正仿宋_GBK" w:hAnsi="方正仿宋_GBK" w:eastAsia="方正仿宋_GBK" w:cs="方正仿宋_GBK"/>
                <w:b w:val="0"/>
                <w:bCs/>
                <w:sz w:val="24"/>
                <w:szCs w:val="24"/>
                <w:highlight w:val="none"/>
                <w:lang w:val="en-US" w:eastAsia="zh-CN"/>
              </w:rPr>
              <w:t>后</w:t>
            </w:r>
            <w:r>
              <w:rPr>
                <w:rFonts w:hint="eastAsia" w:ascii="方正仿宋_GBK" w:hAnsi="方正仿宋_GBK" w:eastAsia="方正仿宋_GBK" w:cs="方正仿宋_GBK"/>
                <w:b w:val="0"/>
                <w:bCs/>
                <w:sz w:val="24"/>
                <w:szCs w:val="24"/>
                <w:highlight w:val="none"/>
                <w:lang w:val="zh-CN" w:eastAsia="zh-CN"/>
              </w:rPr>
              <w:t>，支付</w:t>
            </w:r>
            <w:r>
              <w:rPr>
                <w:rFonts w:hint="eastAsia" w:ascii="方正仿宋_GBK" w:hAnsi="方正仿宋_GBK" w:eastAsia="方正仿宋_GBK" w:cs="方正仿宋_GBK"/>
                <w:b w:val="0"/>
                <w:bCs/>
                <w:sz w:val="24"/>
                <w:szCs w:val="24"/>
                <w:highlight w:val="none"/>
                <w:lang w:val="en-US" w:eastAsia="zh-CN"/>
              </w:rPr>
              <w:t>95</w:t>
            </w:r>
            <w:r>
              <w:rPr>
                <w:rFonts w:hint="eastAsia" w:ascii="方正仿宋_GBK" w:hAnsi="方正仿宋_GBK" w:eastAsia="方正仿宋_GBK" w:cs="方正仿宋_GBK"/>
                <w:b w:val="0"/>
                <w:bCs/>
                <w:sz w:val="24"/>
                <w:szCs w:val="24"/>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2</w:t>
            </w:r>
            <w:r>
              <w:rPr>
                <w:rFonts w:hint="eastAsia" w:ascii="方正仿宋_GBK" w:hAnsi="方正仿宋_GBK" w:eastAsia="方正仿宋_GBK" w:cs="方正仿宋_GBK"/>
                <w:b w:val="0"/>
                <w:bCs/>
                <w:sz w:val="24"/>
                <w:szCs w:val="24"/>
                <w:highlight w:val="none"/>
                <w:lang w:val="zh-CN" w:eastAsia="zh-CN"/>
              </w:rPr>
              <w:t>）项目实施完成验收合格并交付使用</w:t>
            </w:r>
            <w:r>
              <w:rPr>
                <w:rFonts w:hint="eastAsia" w:ascii="方正仿宋_GBK" w:hAnsi="方正仿宋_GBK" w:eastAsia="方正仿宋_GBK" w:cs="方正仿宋_GBK"/>
                <w:b w:val="0"/>
                <w:bCs/>
                <w:sz w:val="24"/>
                <w:szCs w:val="24"/>
                <w:highlight w:val="none"/>
                <w:lang w:val="en-US" w:eastAsia="zh-CN"/>
              </w:rPr>
              <w:t>一年</w:t>
            </w:r>
            <w:r>
              <w:rPr>
                <w:rFonts w:hint="eastAsia" w:ascii="方正仿宋_GBK" w:hAnsi="方正仿宋_GBK" w:eastAsia="方正仿宋_GBK" w:cs="方正仿宋_GBK"/>
                <w:b w:val="0"/>
                <w:bCs/>
                <w:sz w:val="24"/>
                <w:szCs w:val="24"/>
                <w:highlight w:val="none"/>
                <w:lang w:val="zh-CN" w:eastAsia="zh-CN"/>
              </w:rPr>
              <w:t>后，支付</w:t>
            </w:r>
            <w:r>
              <w:rPr>
                <w:rFonts w:hint="eastAsia" w:ascii="方正仿宋_GBK" w:hAnsi="方正仿宋_GBK" w:eastAsia="方正仿宋_GBK" w:cs="方正仿宋_GBK"/>
                <w:b w:val="0"/>
                <w:bCs/>
                <w:sz w:val="24"/>
                <w:szCs w:val="24"/>
                <w:highlight w:val="none"/>
                <w:lang w:val="en-US" w:eastAsia="zh-CN"/>
              </w:rPr>
              <w:t>5</w:t>
            </w:r>
            <w:r>
              <w:rPr>
                <w:rFonts w:hint="eastAsia" w:ascii="方正仿宋_GBK" w:hAnsi="方正仿宋_GBK" w:eastAsia="方正仿宋_GBK" w:cs="方正仿宋_GBK"/>
                <w:b w:val="0"/>
                <w:bCs/>
                <w:sz w:val="24"/>
                <w:szCs w:val="24"/>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6</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履约验收</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7</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保险</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pStyle w:val="2"/>
        <w:rPr>
          <w:rFonts w:hint="eastAsia"/>
          <w:highlight w:val="none"/>
          <w:lang w:val="en-US" w:eastAsia="zh-CN"/>
        </w:rPr>
      </w:pPr>
    </w:p>
    <w:p>
      <w:pPr>
        <w:numPr>
          <w:ilvl w:val="0"/>
          <w:numId w:val="0"/>
        </w:num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default"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喷砂仪1：</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数量1台，单价限价0.8万元。</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1.产生的声压级不超过 80 dB。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2.输入水压值在要求之最小值 0.15 MPa 时，出水量≥ 20 mL/min。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3.产品输入压力范围 0.25 Mpa～0.4 Mpa，所需的气流量应满足≤40 NL/min。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4.手柄和喷砂嘴可进行≥ 250 次重复处理周期。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5.喷砂嘴是可旋转的。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6.在正常水压范围 0.15 MPa～0.4 MPa，气压范围 0.25 MPa～0.4 MPa 内，无漏水漏气现象。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7.工作气压范围 0.25 MPa～0.4 MPa。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8.工作水压范围 0.15 MPa～0.4 MPa。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9.尾部供水、供气采用软管连接，不含光纤孔。通过配件中的快速连接头与其连接。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default"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喷砂仪2：</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数量1台，单价限价0.8万元。</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1.手机表面具有凹槽，任何大小的手都能安全握持，并可对前端喷嘴的角度进行微妙的调整。</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2.双喷嘴结构：气流从喷粉盒的双喷嘴中同时喷出，向位于盒中央的吸气喷嘴产生持续稳定的喷粉流。</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3.双喷嘴结构结合圆顶形盒设计也有助于喷粉的充分使用，减少未用喷粉的浪费。</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4.拥有≥ 2 个 360°自由旋转式接口，此接口即使在高压下也不会变紧。</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5.前端喷嘴易于拆卸，一个可置换喷嘴做为标准套件。</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6. 气体消耗量：15-25L/min（0.245 Mpa）</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7.喷雾：55mL/min ± 10%（水压 0.098 Mpa）。</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8.洁牙粉消耗量：≤12 克每3-5 min</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9.连接方式：国际标准 ISO 4 孔。</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根管治疗仪：</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数量2台，单价限价0.6万元，总价限价1.2万元。</w:t>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1.组成：马达手机+反角弯机头。</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2.机型：无线手持式根管预备机。</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3.记忆程序设定：≥十种。</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4.显示屏：OLED显示屏。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5.马达手机转速：150～800rpm。</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6.马达手机额定转矩：≤4.0N•cm。</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7.马达手机机头减速比：≥16：1。</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8.弯机头可≥六个角度方向调节，左右手均可使用。</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9.工作模式设定≥4种（根测控制马达模式、单根测模式、单马达模式、马达和根测同时使用模式）。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10.配备无线连接脚踏系统。</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11.电池充电：可拆卸式电池和充电线式多种充电方式。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12.具备主机自动校准和自动关机功能。</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13.适用于所有的镍钛根管预备器械系统。</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Times New Roman" w:hAnsi="Times New Roman" w:eastAsia="方正仿宋_GBK" w:cs="Times New Roman"/>
          <w:b/>
          <w:bCs/>
          <w:i w:val="0"/>
          <w:caps w:val="0"/>
          <w:color w:val="auto"/>
          <w:spacing w:val="0"/>
          <w:sz w:val="28"/>
          <w:szCs w:val="28"/>
          <w:highlight w:val="none"/>
          <w:shd w:val="clear" w:fill="FFFFFF"/>
          <w:lang w:val="en-US" w:eastAsia="zh-CN"/>
        </w:rPr>
      </w:pPr>
      <w:r>
        <w:rPr>
          <w:rFonts w:hint="eastAsia" w:ascii="方正仿宋_GBK" w:hAnsi="方正仿宋_GBK" w:eastAsia="方正仿宋_GBK" w:cs="方正仿宋_GBK"/>
          <w:b w:val="0"/>
          <w:bCs/>
          <w:sz w:val="28"/>
          <w:szCs w:val="28"/>
          <w:highlight w:val="none"/>
          <w:lang w:val="en-US" w:eastAsia="zh-CN"/>
        </w:rPr>
        <w:t>14.支持单支锉根管成型，双向旋转动力装置。</w:t>
      </w:r>
    </w:p>
    <w:p>
      <w:pPr>
        <w:pStyle w:val="2"/>
        <w:numPr>
          <w:ilvl w:val="0"/>
          <w:numId w:val="0"/>
        </w:numPr>
        <w:rPr>
          <w:rFonts w:hint="eastAsia"/>
          <w:highlight w:val="none"/>
          <w:lang w:val="en-US" w:eastAsia="zh-CN"/>
        </w:rPr>
      </w:pPr>
    </w:p>
    <w:p>
      <w:pPr>
        <w:pStyle w:val="2"/>
        <w:spacing w:line="570" w:lineRule="atLeast"/>
        <w:rPr>
          <w:rFonts w:hint="default"/>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hint="default" w:ascii="Times New Roman" w:hAnsi="Times New Roman" w:cs="Times New Roman"/>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pStyle w:val="2"/>
        <w:spacing w:line="570" w:lineRule="atLeast"/>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rPr>
            </w:pPr>
            <w:r>
              <w:rPr>
                <w:rFonts w:hint="default" w:ascii="Times New Roman" w:hAnsi="Times New Roman" w:eastAsia="仿宋_GB2312" w:cs="Times New Roman"/>
                <w:color w:val="333333"/>
                <w:kern w:val="0"/>
                <w:sz w:val="28"/>
                <w:szCs w:val="28"/>
                <w:highlight w:val="none"/>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default" w:ascii="Times New Roman" w:hAnsi="Times New Roman" w:eastAsia="仿宋_GB2312" w:cs="Times New Roman"/>
                <w:color w:val="333333"/>
                <w:kern w:val="0"/>
                <w:sz w:val="28"/>
                <w:szCs w:val="28"/>
                <w:highlight w:val="none"/>
                <w:lang w:val="en-US" w:eastAsia="zh-CN"/>
              </w:rPr>
              <w:t>总价</w:t>
            </w:r>
            <w:r>
              <w:rPr>
                <w:rFonts w:hint="default" w:ascii="Times New Roman" w:hAnsi="Times New Roman" w:eastAsia="仿宋_GB2312" w:cs="Times New Roman"/>
                <w:color w:val="333333"/>
                <w:kern w:val="0"/>
                <w:sz w:val="28"/>
                <w:szCs w:val="28"/>
                <w:highlight w:val="none"/>
              </w:rPr>
              <w:t>（元）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lang w:val="en-US" w:eastAsia="zh-CN"/>
              </w:rPr>
            </w:pPr>
            <w:r>
              <w:rPr>
                <w:rFonts w:hint="default" w:ascii="Times New Roman" w:hAnsi="Times New Roman" w:eastAsia="宋体" w:cs="Times New Roman"/>
                <w:color w:val="333333"/>
                <w:kern w:val="0"/>
                <w:sz w:val="24"/>
                <w:szCs w:val="24"/>
                <w:highlight w:val="none"/>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0" w:name="_Toc237343703"/>
      <w:bookmarkStart w:id="1" w:name="_Toc174767233"/>
      <w:bookmarkStart w:id="2" w:name="_Toc9529516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0"/>
      <w:bookmarkEnd w:id="1"/>
      <w:bookmarkEnd w:id="2"/>
    </w:p>
    <w:p>
      <w:pPr>
        <w:spacing w:line="570" w:lineRule="atLeast"/>
        <w:rPr>
          <w:rFonts w:hint="default" w:ascii="Times New Roman" w:hAnsi="Times New Roman" w:eastAsia="方正仿宋_GBK" w:cs="Times New Roman"/>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pStyle w:val="2"/>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6406D"/>
    <w:rsid w:val="4DCC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2025-06-27T01:12:00Z</dcterms:created>
  <dc:creator>OS</dc:creator>
  <cp:lastModifiedBy>們泊冬吴@^_^</cp:lastModifiedBy>
  <dcterms:modified xsi:type="dcterms:W3CDTF">2025-07-03T00:55:09Z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