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无影灯</w:t>
      </w:r>
      <w:r>
        <w:rPr>
          <w:rFonts w:hint="eastAsia" w:eastAsia="方正仿宋_GBK" w:cs="Times New Roman"/>
          <w:kern w:val="2"/>
          <w:sz w:val="28"/>
          <w:szCs w:val="28"/>
          <w:highlight w:val="none"/>
          <w:lang w:val="en-US" w:eastAsia="zh-CN" w:bidi="ar-SA"/>
          <w14:ligatures w14:val="standardContextual"/>
        </w:rPr>
        <w:t>采购</w:t>
      </w:r>
      <w:r>
        <w:rPr>
          <w:rFonts w:hint="default" w:ascii="Times New Roman" w:hAnsi="Times New Roman" w:eastAsia="方正仿宋_GBK" w:cs="Times New Roman"/>
          <w:kern w:val="2"/>
          <w:sz w:val="28"/>
          <w:szCs w:val="28"/>
          <w:highlight w:val="none"/>
          <w:lang w:val="en-US" w:eastAsia="zh-CN" w:bidi="ar-SA"/>
          <w14:ligatures w14:val="standardContextual"/>
        </w:rPr>
        <w:t>项目。</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eastAsia="方正仿宋_GBK" w:cs="Times New Roman"/>
          <w:kern w:val="2"/>
          <w:sz w:val="28"/>
          <w:szCs w:val="28"/>
          <w:highlight w:val="none"/>
          <w:lang w:val="en-US" w:eastAsia="zh-CN" w:bidi="ar-SA"/>
          <w14:ligatures w14:val="standardContextual"/>
        </w:rPr>
        <w:t>8.8</w:t>
      </w:r>
      <w:r>
        <w:rPr>
          <w:rFonts w:hint="default" w:ascii="Times New Roman" w:hAnsi="Times New Roman" w:eastAsia="方正仿宋_GBK" w:cs="Times New Roman"/>
          <w:kern w:val="2"/>
          <w:sz w:val="28"/>
          <w:szCs w:val="28"/>
          <w:highlight w:val="none"/>
          <w:lang w:val="en-US" w:eastAsia="zh-CN" w:bidi="ar-SA"/>
          <w14:ligatures w14:val="standardContextual"/>
        </w:rPr>
        <w:t>万元</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超过限价的报价其</w:t>
      </w:r>
      <w:r>
        <w:rPr>
          <w:rFonts w:hint="eastAsia" w:eastAsia="方正仿宋_GBK" w:cs="Times New Roman"/>
          <w:color w:val="auto"/>
          <w:kern w:val="2"/>
          <w:sz w:val="28"/>
          <w:szCs w:val="28"/>
          <w:highlight w:val="none"/>
          <w:lang w:val="en-US" w:eastAsia="zh-CN" w:bidi="ar-SA"/>
          <w14:ligatures w14:val="standardContextual"/>
        </w:rPr>
        <w:t>响应</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文件作无效处理。</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：4台</w:t>
      </w:r>
    </w:p>
    <w:p>
      <w:pPr>
        <w:widowControl/>
        <w:adjustRightInd w:val="0"/>
        <w:snapToGrid w:val="0"/>
        <w:spacing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6"/>
        <w:tblW w:w="8895"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85"/>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en-US" w:eastAsia="zh-CN"/>
              </w:rPr>
              <w:br w:type="page"/>
            </w:r>
            <w:r>
              <w:rPr>
                <w:rFonts w:hint="eastAsia" w:ascii="方正仿宋_GBK" w:hAnsi="方正仿宋_GBK" w:eastAsia="方正仿宋_GBK" w:cs="方正仿宋_GBK"/>
                <w:b/>
                <w:bCs w:val="0"/>
                <w:sz w:val="24"/>
                <w:szCs w:val="24"/>
                <w:highlight w:val="none"/>
                <w:lang w:val="zh-CN" w:eastAsia="zh-CN"/>
              </w:rPr>
              <w:t>序号</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内容</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项目完成时间</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采购合同签订后</w:t>
            </w:r>
            <w:r>
              <w:rPr>
                <w:rFonts w:hint="eastAsia" w:ascii="方正仿宋_GBK" w:hAnsi="方正仿宋_GBK" w:eastAsia="方正仿宋_GBK" w:cs="方正仿宋_GBK"/>
                <w:b w:val="0"/>
                <w:bCs/>
                <w:sz w:val="24"/>
                <w:szCs w:val="24"/>
                <w:highlight w:val="none"/>
                <w:lang w:val="en-US" w:eastAsia="zh-CN"/>
              </w:rPr>
              <w:t>30</w:t>
            </w:r>
            <w:r>
              <w:rPr>
                <w:rFonts w:hint="eastAsia" w:ascii="方正仿宋_GBK" w:hAnsi="方正仿宋_GBK" w:eastAsia="方正仿宋_GBK" w:cs="方正仿宋_GBK"/>
                <w:b w:val="0"/>
                <w:bCs/>
                <w:sz w:val="24"/>
                <w:szCs w:val="24"/>
                <w:highlight w:val="none"/>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项目实施地点</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3</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售后服务期</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整机质保3年</w:t>
            </w:r>
            <w:r>
              <w:rPr>
                <w:rFonts w:hint="eastAsia" w:ascii="方正仿宋_GBK" w:hAnsi="方正仿宋_GBK" w:eastAsia="方正仿宋_GBK" w:cs="方正仿宋_GBK"/>
                <w:b w:val="0"/>
                <w:bCs/>
                <w:sz w:val="24"/>
                <w:szCs w:val="24"/>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5</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合同价款支付</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zh-CN"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1</w:t>
            </w:r>
            <w:r>
              <w:rPr>
                <w:rFonts w:hint="eastAsia" w:ascii="方正仿宋_GBK" w:hAnsi="方正仿宋_GBK" w:eastAsia="方正仿宋_GBK" w:cs="方正仿宋_GBK"/>
                <w:b w:val="0"/>
                <w:bCs/>
                <w:sz w:val="24"/>
                <w:szCs w:val="24"/>
                <w:highlight w:val="none"/>
                <w:lang w:val="zh-CN" w:eastAsia="zh-CN"/>
              </w:rPr>
              <w:t>）项目实施完成验收合格</w:t>
            </w:r>
            <w:r>
              <w:rPr>
                <w:rFonts w:hint="eastAsia" w:ascii="方正仿宋_GBK" w:hAnsi="方正仿宋_GBK" w:eastAsia="方正仿宋_GBK" w:cs="方正仿宋_GBK"/>
                <w:b w:val="0"/>
                <w:bCs/>
                <w:sz w:val="24"/>
                <w:szCs w:val="24"/>
                <w:highlight w:val="none"/>
                <w:lang w:val="en-US" w:eastAsia="zh-CN"/>
              </w:rPr>
              <w:t>后</w:t>
            </w:r>
            <w:r>
              <w:rPr>
                <w:rFonts w:hint="eastAsia" w:ascii="方正仿宋_GBK" w:hAnsi="方正仿宋_GBK" w:eastAsia="方正仿宋_GBK" w:cs="方正仿宋_GBK"/>
                <w:b w:val="0"/>
                <w:bCs/>
                <w:sz w:val="24"/>
                <w:szCs w:val="24"/>
                <w:highlight w:val="none"/>
                <w:lang w:val="zh-CN" w:eastAsia="zh-CN"/>
              </w:rPr>
              <w:t>，支付</w:t>
            </w:r>
            <w:r>
              <w:rPr>
                <w:rFonts w:hint="eastAsia" w:ascii="方正仿宋_GBK" w:hAnsi="方正仿宋_GBK" w:eastAsia="方正仿宋_GBK" w:cs="方正仿宋_GBK"/>
                <w:b w:val="0"/>
                <w:bCs/>
                <w:sz w:val="24"/>
                <w:szCs w:val="24"/>
                <w:highlight w:val="none"/>
                <w:lang w:val="en-US" w:eastAsia="zh-CN"/>
              </w:rPr>
              <w:t>95</w:t>
            </w:r>
            <w:r>
              <w:rPr>
                <w:rFonts w:hint="eastAsia" w:ascii="方正仿宋_GBK" w:hAnsi="方正仿宋_GBK" w:eastAsia="方正仿宋_GBK" w:cs="方正仿宋_GBK"/>
                <w:b w:val="0"/>
                <w:bCs/>
                <w:sz w:val="24"/>
                <w:szCs w:val="24"/>
                <w:highlight w:val="none"/>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2</w:t>
            </w:r>
            <w:r>
              <w:rPr>
                <w:rFonts w:hint="eastAsia" w:ascii="方正仿宋_GBK" w:hAnsi="方正仿宋_GBK" w:eastAsia="方正仿宋_GBK" w:cs="方正仿宋_GBK"/>
                <w:b w:val="0"/>
                <w:bCs/>
                <w:sz w:val="24"/>
                <w:szCs w:val="24"/>
                <w:highlight w:val="none"/>
                <w:lang w:val="zh-CN" w:eastAsia="zh-CN"/>
              </w:rPr>
              <w:t>）项目实施完成验收合格并交付使用</w:t>
            </w:r>
            <w:r>
              <w:rPr>
                <w:rFonts w:hint="eastAsia" w:ascii="方正仿宋_GBK" w:hAnsi="方正仿宋_GBK" w:eastAsia="方正仿宋_GBK" w:cs="方正仿宋_GBK"/>
                <w:b w:val="0"/>
                <w:bCs/>
                <w:sz w:val="24"/>
                <w:szCs w:val="24"/>
                <w:highlight w:val="none"/>
                <w:lang w:val="en-US" w:eastAsia="zh-CN"/>
              </w:rPr>
              <w:t>一年</w:t>
            </w:r>
            <w:r>
              <w:rPr>
                <w:rFonts w:hint="eastAsia" w:ascii="方正仿宋_GBK" w:hAnsi="方正仿宋_GBK" w:eastAsia="方正仿宋_GBK" w:cs="方正仿宋_GBK"/>
                <w:b w:val="0"/>
                <w:bCs/>
                <w:sz w:val="24"/>
                <w:szCs w:val="24"/>
                <w:highlight w:val="none"/>
                <w:lang w:val="zh-CN" w:eastAsia="zh-CN"/>
              </w:rPr>
              <w:t>后，支付</w:t>
            </w:r>
            <w:r>
              <w:rPr>
                <w:rFonts w:hint="eastAsia" w:ascii="方正仿宋_GBK" w:hAnsi="方正仿宋_GBK" w:eastAsia="方正仿宋_GBK" w:cs="方正仿宋_GBK"/>
                <w:b w:val="0"/>
                <w:bCs/>
                <w:sz w:val="24"/>
                <w:szCs w:val="24"/>
                <w:highlight w:val="none"/>
                <w:lang w:val="en-US" w:eastAsia="zh-CN"/>
              </w:rPr>
              <w:t>5</w:t>
            </w:r>
            <w:r>
              <w:rPr>
                <w:rFonts w:hint="eastAsia" w:ascii="方正仿宋_GBK" w:hAnsi="方正仿宋_GBK" w:eastAsia="方正仿宋_GBK" w:cs="方正仿宋_GBK"/>
                <w:b w:val="0"/>
                <w:bCs/>
                <w:sz w:val="24"/>
                <w:szCs w:val="24"/>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6</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履约验收</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7</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保险</w:t>
            </w:r>
          </w:p>
        </w:tc>
        <w:tc>
          <w:tcPr>
            <w:tcW w:w="702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widowControl/>
        <w:adjustRightInd w:val="0"/>
        <w:snapToGrid w:val="0"/>
        <w:spacing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（三）</w:t>
      </w: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仿宋" w:hAnsi="仿宋" w:eastAsia="仿宋" w:cs="仿宋"/>
          <w:sz w:val="24"/>
          <w:highlight w:val="none"/>
          <w:lang w:eastAsia="zh-CN"/>
        </w:rPr>
        <w:t>：</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1</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产房接生及会阴缝合等各种操作时使用，要求为移动式</w:t>
      </w:r>
      <w:r>
        <w:rPr>
          <w:rFonts w:hint="eastAsia" w:ascii="Times New Roman" w:hAnsi="Times New Roman" w:eastAsia="仿宋" w:cs="Times New Roman"/>
          <w:kern w:val="2"/>
          <w:sz w:val="28"/>
          <w:szCs w:val="28"/>
          <w:highlight w:val="none"/>
          <w:lang w:val="en-US" w:eastAsia="zh-CN" w:bidi="ar-SA"/>
          <w14:ligatures w14:val="standardContextual"/>
        </w:rPr>
        <w:t>。</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2</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灯体圆形，灯罩壳为铝型材质，ABS内嵌式操作拉手设计，最厚处不超过18CM。</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3、无影灯各旋转轴位置，采用蝶形刹车阻尼装置，保证无漂移现象。</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4、消毒手柄处无一颗螺丝外露，脱卸式聚焦手柄可作高温高压消毒。</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5、采用平衡臂系统，可使灯头进行360°旋转并精确定位在理想位置。</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6、传电器具有三路导电环，公母头对插式导电。</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7、调焦系统装置，使用中轴螺旋结构带动四点拉杆调整灯盘角度，做到可调节光斑大小。</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8、采用LED灯泡，每个LED灯泡都配有独立的散热片（提供实物图片证明），且配合灯盘中心处上下通透散热结构，冷光效果使医生头部和伤口区无明显温升。</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9、通过电磁兼容检测（提供电磁兼容检测报告），采用抑制电磁波干扰设计，避免与手术室内其它设备产生相互的干扰。</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10、灯盘渐变式，聚光板灯盘</w:t>
      </w:r>
      <w:r>
        <w:rPr>
          <w:rFonts w:hint="eastAsia" w:ascii="Times New Roman" w:hAnsi="Times New Roman" w:eastAsia="仿宋" w:cs="Times New Roman"/>
          <w:kern w:val="2"/>
          <w:sz w:val="28"/>
          <w:szCs w:val="28"/>
          <w:highlight w:val="none"/>
          <w:lang w:val="en-US" w:eastAsia="zh-CN" w:bidi="ar-SA"/>
          <w14:ligatures w14:val="standardContextual"/>
        </w:rPr>
        <w:t>不少于</w:t>
      </w:r>
      <w:r>
        <w:rPr>
          <w:rFonts w:hint="default" w:ascii="Times New Roman" w:hAnsi="Times New Roman" w:eastAsia="仿宋" w:cs="Times New Roman"/>
          <w:kern w:val="2"/>
          <w:sz w:val="28"/>
          <w:szCs w:val="28"/>
          <w:highlight w:val="none"/>
          <w:lang w:val="en-US" w:eastAsia="zh-CN" w:bidi="ar-SA"/>
          <w14:ligatures w14:val="standardContextual"/>
        </w:rPr>
        <w:t>四等分，可有效的提升无影效果。（提供实物图片证明文件）</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11、采用RGBW四色灯泡，有效缓解医生长时间手术造成的眼部疲劳。（提供实物图片证明文件）</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12、采用加厚铸铁小X字型承重底座，稳定性高，不易倾倒。二组带刹车功能。</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13、交直流两用，不需要蓄电功能。</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14、最大照度（Lx）：不小于 120,000</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default" w:ascii="Times New Roman" w:hAnsi="Times New Roman" w:eastAsia="仿宋" w:cs="Times New Roman"/>
          <w:kern w:val="2"/>
          <w:sz w:val="28"/>
          <w:szCs w:val="28"/>
          <w:highlight w:val="none"/>
          <w:lang w:val="en-US" w:eastAsia="zh-CN" w:bidi="ar-SA"/>
          <w14:ligatures w14:val="standardContextual"/>
        </w:rPr>
        <w:t>1</w:t>
      </w:r>
      <w:r>
        <w:rPr>
          <w:rFonts w:hint="eastAsia" w:ascii="Times New Roman" w:hAnsi="Times New Roman" w:eastAsia="仿宋" w:cs="Times New Roman"/>
          <w:kern w:val="2"/>
          <w:sz w:val="28"/>
          <w:szCs w:val="28"/>
          <w:highlight w:val="none"/>
          <w:lang w:val="en-US" w:eastAsia="zh-CN" w:bidi="ar-SA"/>
          <w14:ligatures w14:val="standardContextual"/>
        </w:rPr>
        <w:t>5</w:t>
      </w:r>
      <w:r>
        <w:rPr>
          <w:rFonts w:hint="default" w:ascii="Times New Roman" w:hAnsi="Times New Roman" w:eastAsia="仿宋" w:cs="Times New Roman"/>
          <w:kern w:val="2"/>
          <w:sz w:val="28"/>
          <w:szCs w:val="28"/>
          <w:highlight w:val="none"/>
          <w:lang w:val="en-US" w:eastAsia="zh-CN" w:bidi="ar-SA"/>
          <w14:ligatures w14:val="standardContextual"/>
        </w:rPr>
        <w:t>、辐照度(W/㎡)：不小于子灯255</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辐照度密度(W/㎡.Klx)不小于子灯2.62</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16</w:t>
      </w:r>
      <w:r>
        <w:rPr>
          <w:rFonts w:hint="default" w:ascii="Times New Roman" w:hAnsi="Times New Roman" w:eastAsia="仿宋" w:cs="Times New Roman"/>
          <w:kern w:val="2"/>
          <w:sz w:val="28"/>
          <w:szCs w:val="28"/>
          <w:highlight w:val="none"/>
          <w:lang w:val="en-US" w:eastAsia="zh-CN" w:bidi="ar-SA"/>
          <w14:ligatures w14:val="standardContextual"/>
        </w:rPr>
        <w:t>、色温可调（K）3500-5800</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17</w:t>
      </w:r>
      <w:r>
        <w:rPr>
          <w:rFonts w:hint="default" w:ascii="Times New Roman" w:hAnsi="Times New Roman" w:eastAsia="仿宋" w:cs="Times New Roman"/>
          <w:kern w:val="2"/>
          <w:sz w:val="28"/>
          <w:szCs w:val="28"/>
          <w:highlight w:val="none"/>
          <w:lang w:val="en-US" w:eastAsia="zh-CN" w:bidi="ar-SA"/>
          <w14:ligatures w14:val="standardContextual"/>
        </w:rPr>
        <w:t>、演色性指数（CRI）不小于96</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红色还原指数（Ra)不小于96</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18</w:t>
      </w:r>
      <w:r>
        <w:rPr>
          <w:rFonts w:hint="default" w:ascii="Times New Roman" w:hAnsi="Times New Roman" w:eastAsia="仿宋" w:cs="Times New Roman"/>
          <w:kern w:val="2"/>
          <w:sz w:val="28"/>
          <w:szCs w:val="28"/>
          <w:highlight w:val="none"/>
          <w:lang w:val="en-US" w:eastAsia="zh-CN" w:bidi="ar-SA"/>
          <w14:ligatures w14:val="standardContextual"/>
        </w:rPr>
        <w:t>、调光范围10—100%</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19</w:t>
      </w:r>
      <w:r>
        <w:rPr>
          <w:rFonts w:hint="default" w:ascii="Times New Roman" w:hAnsi="Times New Roman" w:eastAsia="仿宋" w:cs="Times New Roman"/>
          <w:kern w:val="2"/>
          <w:sz w:val="28"/>
          <w:szCs w:val="28"/>
          <w:highlight w:val="none"/>
          <w:lang w:val="en-US" w:eastAsia="zh-CN" w:bidi="ar-SA"/>
          <w14:ligatures w14:val="standardContextual"/>
        </w:rPr>
        <w:t>、术者头部温升≤0.5℃</w:t>
      </w:r>
      <w:bookmarkStart w:id="0" w:name="OLE_LINK3"/>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术野升温</w:t>
      </w:r>
      <w:bookmarkEnd w:id="0"/>
      <w:r>
        <w:rPr>
          <w:rFonts w:hint="default" w:ascii="Times New Roman" w:hAnsi="Times New Roman" w:eastAsia="仿宋" w:cs="Times New Roman"/>
          <w:kern w:val="2"/>
          <w:sz w:val="28"/>
          <w:szCs w:val="28"/>
          <w:highlight w:val="none"/>
          <w:lang w:val="en-US" w:eastAsia="zh-CN" w:bidi="ar-SA"/>
          <w14:ligatures w14:val="standardContextual"/>
        </w:rPr>
        <w:t>≤2℃</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20</w:t>
      </w:r>
      <w:r>
        <w:rPr>
          <w:rFonts w:hint="default" w:ascii="Times New Roman" w:hAnsi="Times New Roman" w:eastAsia="仿宋" w:cs="Times New Roman"/>
          <w:kern w:val="2"/>
          <w:sz w:val="28"/>
          <w:szCs w:val="28"/>
          <w:highlight w:val="none"/>
          <w:lang w:val="en-US" w:eastAsia="zh-CN" w:bidi="ar-SA"/>
          <w14:ligatures w14:val="standardContextual"/>
        </w:rPr>
        <w:t>、照明深度≥130cm</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光斑直径100-300MM</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21</w:t>
      </w:r>
      <w:r>
        <w:rPr>
          <w:rFonts w:hint="default" w:ascii="Times New Roman" w:hAnsi="Times New Roman" w:eastAsia="仿宋" w:cs="Times New Roman"/>
          <w:kern w:val="2"/>
          <w:sz w:val="28"/>
          <w:szCs w:val="28"/>
          <w:highlight w:val="none"/>
          <w:lang w:val="en-US" w:eastAsia="zh-CN" w:bidi="ar-SA"/>
          <w14:ligatures w14:val="standardContextual"/>
        </w:rPr>
        <w:t>、灯泡类型LED</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灯泡平均寿命≥60000h</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灯泡数量不小于48LEDS（主灯）</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22</w:t>
      </w:r>
      <w:r>
        <w:rPr>
          <w:rFonts w:hint="default" w:ascii="Times New Roman" w:hAnsi="Times New Roman" w:eastAsia="仿宋" w:cs="Times New Roman"/>
          <w:kern w:val="2"/>
          <w:sz w:val="28"/>
          <w:szCs w:val="28"/>
          <w:highlight w:val="none"/>
          <w:lang w:val="en-US" w:eastAsia="zh-CN" w:bidi="ar-SA"/>
          <w14:ligatures w14:val="standardContextual"/>
        </w:rPr>
        <w:t>、弧形拉手尺寸≥270mm</w:t>
      </w:r>
      <w:r>
        <w:rPr>
          <w:rFonts w:hint="eastAsia" w:ascii="Times New Roman" w:hAnsi="Times New Roman" w:eastAsia="仿宋" w:cs="Times New Roman"/>
          <w:kern w:val="2"/>
          <w:sz w:val="28"/>
          <w:szCs w:val="28"/>
          <w:highlight w:val="none"/>
          <w:lang w:val="en-US" w:eastAsia="zh-CN" w:bidi="ar-SA"/>
          <w14:ligatures w14:val="standardContextual"/>
        </w:rPr>
        <w:t>，</w:t>
      </w:r>
      <w:r>
        <w:rPr>
          <w:rFonts w:hint="default" w:ascii="Times New Roman" w:hAnsi="Times New Roman" w:eastAsia="仿宋" w:cs="Times New Roman"/>
          <w:kern w:val="2"/>
          <w:sz w:val="28"/>
          <w:szCs w:val="28"/>
          <w:highlight w:val="none"/>
          <w:lang w:val="en-US" w:eastAsia="zh-CN" w:bidi="ar-SA"/>
          <w14:ligatures w14:val="standardContextual"/>
        </w:rPr>
        <w:t>扇形调焦活动板半径子灯≥200mm</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23</w:t>
      </w:r>
      <w:r>
        <w:rPr>
          <w:rFonts w:hint="default" w:ascii="Times New Roman" w:hAnsi="Times New Roman" w:eastAsia="仿宋" w:cs="Times New Roman"/>
          <w:kern w:val="2"/>
          <w:sz w:val="28"/>
          <w:szCs w:val="28"/>
          <w:highlight w:val="none"/>
          <w:lang w:val="en-US" w:eastAsia="zh-CN" w:bidi="ar-SA"/>
          <w14:ligatures w14:val="standardContextual"/>
        </w:rPr>
        <w:t>、照度和色温调节范围≥12档</w:t>
      </w:r>
    </w:p>
    <w:p>
      <w:pPr>
        <w:widowControl/>
        <w:adjustRightInd w:val="0"/>
        <w:snapToGrid w:val="0"/>
        <w:spacing w:line="360" w:lineRule="auto"/>
        <w:ind w:firstLine="560" w:firstLineChars="200"/>
        <w:jc w:val="left"/>
        <w:rPr>
          <w:rFonts w:hint="default"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仿宋" w:cs="Times New Roman"/>
          <w:kern w:val="2"/>
          <w:sz w:val="28"/>
          <w:szCs w:val="28"/>
          <w:highlight w:val="none"/>
          <w:lang w:val="en-US" w:eastAsia="zh-CN" w:bidi="ar-SA"/>
          <w14:ligatures w14:val="standardContextual"/>
        </w:rPr>
        <w:t>24</w:t>
      </w:r>
      <w:r>
        <w:rPr>
          <w:rFonts w:hint="default" w:ascii="Times New Roman" w:hAnsi="Times New Roman" w:eastAsia="仿宋" w:cs="Times New Roman"/>
          <w:kern w:val="2"/>
          <w:sz w:val="28"/>
          <w:szCs w:val="28"/>
          <w:highlight w:val="none"/>
          <w:lang w:val="en-US" w:eastAsia="zh-CN" w:bidi="ar-SA"/>
          <w14:ligatures w14:val="standardContextual"/>
        </w:rPr>
        <w:t>、功率子灯≤50W</w:t>
      </w: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5"/>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rPr>
            </w:pPr>
            <w:r>
              <w:rPr>
                <w:rFonts w:hint="default" w:ascii="Times New Roman" w:hAnsi="Times New Roman" w:eastAsia="仿宋_GB2312" w:cs="Times New Roman"/>
                <w:color w:val="333333"/>
                <w:kern w:val="0"/>
                <w:sz w:val="28"/>
                <w:szCs w:val="28"/>
                <w:highlight w:val="none"/>
              </w:rPr>
              <w:t>产品</w:t>
            </w:r>
          </w:p>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eastAsia="zh-CN"/>
              </w:rPr>
            </w:pPr>
            <w:r>
              <w:rPr>
                <w:rFonts w:hint="default" w:ascii="Times New Roman" w:hAnsi="Times New Roman" w:eastAsia="仿宋_GB2312" w:cs="Times New Roman"/>
                <w:color w:val="333333"/>
                <w:kern w:val="0"/>
                <w:sz w:val="28"/>
                <w:szCs w:val="28"/>
                <w:highlight w:val="none"/>
                <w:lang w:val="en-US" w:eastAsia="zh-CN"/>
              </w:rPr>
              <w:t>总价</w:t>
            </w:r>
            <w:r>
              <w:rPr>
                <w:rFonts w:hint="default" w:ascii="Times New Roman" w:hAnsi="Times New Roman" w:eastAsia="仿宋_GB2312" w:cs="Times New Roman"/>
                <w:color w:val="333333"/>
                <w:kern w:val="0"/>
                <w:sz w:val="28"/>
                <w:szCs w:val="28"/>
                <w:highlight w:val="none"/>
              </w:rPr>
              <w:t>（元）</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lang w:val="en-US" w:eastAsia="zh-CN"/>
              </w:rPr>
            </w:pPr>
            <w:r>
              <w:rPr>
                <w:rFonts w:hint="default" w:ascii="Times New Roman" w:hAnsi="Times New Roman" w:eastAsia="宋体" w:cs="Times New Roman"/>
                <w:color w:val="333333"/>
                <w:kern w:val="0"/>
                <w:sz w:val="24"/>
                <w:szCs w:val="24"/>
                <w:highlight w:val="none"/>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highlight w:val="none"/>
        </w:rPr>
      </w:pPr>
    </w:p>
    <w:p>
      <w:pPr>
        <w:pStyle w:val="2"/>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1" w:name="_Toc95295163"/>
      <w:bookmarkStart w:id="2" w:name="_Toc237343703"/>
      <w:bookmarkStart w:id="3" w:name="_Toc17476723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1"/>
      <w:bookmarkEnd w:id="2"/>
      <w:bookmarkEnd w:id="3"/>
    </w:p>
    <w:p>
      <w:pPr>
        <w:spacing w:line="570" w:lineRule="atLeast"/>
        <w:rPr>
          <w:rFonts w:hint="default" w:ascii="Times New Roman" w:hAnsi="Times New Roman" w:eastAsia="方正仿宋_GBK" w:cs="Times New Roman"/>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pStyle w:val="2"/>
        <w:spacing w:line="570" w:lineRule="atLeast"/>
        <w:rPr>
          <w:highlight w:val="none"/>
        </w:rPr>
      </w:pPr>
    </w:p>
    <w:p>
      <w:pPr>
        <w:widowControl w:val="0"/>
        <w:spacing w:after="120" w:line="570" w:lineRule="atLeast"/>
        <w:jc w:val="both"/>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7D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4">
    <w:name w:val="Body Text Indent"/>
    <w:basedOn w:val="1"/>
    <w:qFormat/>
    <w:uiPriority w:val="99"/>
    <w:pPr>
      <w:spacing w:after="120"/>
      <w:ind w:left="420" w:leftChars="200"/>
    </w:p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2025-06-24T06:31:59Z</dcterms:created>
  <dc:creator>OS</dc:creator>
  <cp:lastModifiedBy>們泊冬吴@^_^</cp:lastModifiedBy>
  <dcterms:modified xsi:type="dcterms:W3CDTF">2025-06-24T06:52:44Z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