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jc w:val="both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spacing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一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.项目名称：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金牛区预防接种示教基地物资（第二批）采购项目。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二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.最高限价：</w:t>
      </w:r>
      <w:bookmarkStart w:id="0" w:name="OLE_LINK7"/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4万元，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  <w14:ligatures w14:val="standardContextual"/>
        </w:rPr>
        <w:t>超过限价的报价，其</w:t>
      </w:r>
      <w:r>
        <w:rPr>
          <w:rFonts w:hint="eastAsia" w:eastAsia="方正仿宋_GBK" w:cs="Times New Roman"/>
          <w:sz w:val="28"/>
          <w:szCs w:val="28"/>
          <w:lang w:val="en-US" w:eastAsia="zh-CN"/>
          <w14:ligatures w14:val="standardContextual"/>
        </w:rPr>
        <w:t>响应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  <w14:ligatures w14:val="standardContextual"/>
        </w:rPr>
        <w:t>文件作无效处理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。</w:t>
      </w:r>
    </w:p>
    <w:bookmarkEnd w:id="0"/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三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.相关要求：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（一）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需求数量</w:t>
      </w:r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：</w:t>
      </w:r>
    </w:p>
    <w:tbl>
      <w:tblPr>
        <w:tblStyle w:val="5"/>
        <w:tblW w:w="7345" w:type="dxa"/>
        <w:jc w:val="center"/>
        <w:tblInd w:w="-1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4349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序号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名称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1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登记、接种数据录入终端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2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免疫规划预防接种证信息终端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3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免疫规划疫苗电子监管码采集终端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4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会议平板一体机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1台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widowControl/>
        <w:adjustRightInd w:val="0"/>
        <w:snapToGrid w:val="0"/>
        <w:spacing w:line="360" w:lineRule="auto"/>
        <w:ind w:firstLine="0" w:firstLineChars="0"/>
        <w:jc w:val="left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（二）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商务服务要求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：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  <w:t>1.交货时间：自合同签订后30天内。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  <w:t>2.交货地点：成都市金牛区妇幼保健院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  <w:t>3.付款方式：项目验收合格后，采购人收到供应商发票后支付合同金额的100%。</w:t>
      </w:r>
    </w:p>
    <w:p>
      <w:pPr>
        <w:widowControl/>
        <w:adjustRightInd w:val="0"/>
        <w:snapToGrid w:val="0"/>
        <w:spacing w:line="360" w:lineRule="auto"/>
        <w:ind w:firstLine="0" w:firstLineChars="0"/>
        <w:jc w:val="left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  <w:t xml:space="preserve">    4.履约验收：</w:t>
      </w:r>
    </w:p>
    <w:p>
      <w:pPr>
        <w:widowControl/>
        <w:adjustRightInd w:val="0"/>
        <w:snapToGrid w:val="0"/>
        <w:spacing w:line="360" w:lineRule="auto"/>
        <w:ind w:firstLine="0" w:firstLineChars="0"/>
        <w:jc w:val="left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  <w:t xml:space="preserve">    ①履约验收主体：成都市金牛区妇幼保健院</w:t>
      </w:r>
    </w:p>
    <w:p>
      <w:pPr>
        <w:widowControl/>
        <w:adjustRightInd w:val="0"/>
        <w:snapToGrid w:val="0"/>
        <w:spacing w:line="360" w:lineRule="auto"/>
        <w:ind w:firstLine="0" w:firstLineChars="0"/>
        <w:jc w:val="left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  <w:t xml:space="preserve">    ②履约验收时间：供应商提出验收申请之日起30日内组织验收</w:t>
      </w:r>
    </w:p>
    <w:p>
      <w:pPr>
        <w:widowControl/>
        <w:adjustRightInd w:val="0"/>
        <w:snapToGrid w:val="0"/>
        <w:spacing w:line="360" w:lineRule="auto"/>
        <w:ind w:firstLine="0" w:firstLineChars="0"/>
        <w:jc w:val="left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  <w:t xml:space="preserve">    ③验收组织方式：自行验收</w:t>
      </w:r>
    </w:p>
    <w:p>
      <w:pPr>
        <w:widowControl/>
        <w:adjustRightInd w:val="0"/>
        <w:snapToGrid w:val="0"/>
        <w:spacing w:line="360" w:lineRule="auto"/>
        <w:ind w:firstLine="0" w:firstLineChars="0"/>
        <w:jc w:val="left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  <w:t xml:space="preserve">    ④履约验收程序：一次性验收</w:t>
      </w:r>
    </w:p>
    <w:p>
      <w:pPr>
        <w:widowControl/>
        <w:adjustRightInd w:val="0"/>
        <w:snapToGrid w:val="0"/>
        <w:spacing w:line="360" w:lineRule="auto"/>
        <w:ind w:firstLine="560" w:firstLineChars="0"/>
        <w:jc w:val="left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  <w:t>⑤履约验收内容：按照本项目采购文件中“技术、服务要求”“商务要求”及成交人响应文件进行验收。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⑥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  <w:t>履约验收标准：其他未尽事宜参照《财政部关于进一步加强政府采购需求和履约验收管理的指导意见》（财库〔2016〕205号）等政府采购相关法律法规的要求进行。</w:t>
      </w:r>
    </w:p>
    <w:p>
      <w:pPr>
        <w:widowControl/>
        <w:adjustRightInd w:val="0"/>
        <w:snapToGrid w:val="0"/>
        <w:spacing w:line="360" w:lineRule="auto"/>
        <w:ind w:firstLine="0" w:firstLineChars="0"/>
        <w:jc w:val="left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  <w:t xml:space="preserve">    5.质保期：1年（从验收合格之日起计算）。质保期内中标人应负责系统及设备维修维护。</w:t>
      </w:r>
    </w:p>
    <w:p>
      <w:pPr>
        <w:widowControl/>
        <w:adjustRightInd w:val="0"/>
        <w:snapToGrid w:val="0"/>
        <w:spacing w:line="360" w:lineRule="auto"/>
        <w:ind w:firstLine="0" w:firstLineChars="0"/>
        <w:jc w:val="left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  <w:t xml:space="preserve">    6.包装方式及运输：</w:t>
      </w:r>
    </w:p>
    <w:p>
      <w:pPr>
        <w:widowControl/>
        <w:adjustRightInd w:val="0"/>
        <w:snapToGrid w:val="0"/>
        <w:spacing w:line="360" w:lineRule="auto"/>
        <w:ind w:firstLine="0" w:firstLineChars="0"/>
        <w:jc w:val="left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  <w:t xml:space="preserve">    涉及的商品包装和快递包装，均应符合《商品包装政府采购需求标准（试行）》《快递包装政府采购需求标准（试行）》的要求，包装应适应于远距离运输、防潮、防震、防锈和防野蛮装卸，以确保货物安全无损运抵指定地点。</w:t>
      </w:r>
    </w:p>
    <w:p>
      <w:pPr>
        <w:numPr>
          <w:ilvl w:val="0"/>
          <w:numId w:val="1"/>
        </w:numPr>
        <w:spacing w:line="570" w:lineRule="atLeast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系统功能要求：</w:t>
      </w:r>
    </w:p>
    <w:tbl>
      <w:tblPr>
        <w:tblStyle w:val="5"/>
        <w:tblW w:w="87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09"/>
        <w:gridCol w:w="6209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序号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名称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技术参数要求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登记、接种数据录入终端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1、支持处理器I5，云平台打印控件安装；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2、支持四川省免疫规划信息管理系统终端数据录入操作；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3、支持四川省免疫规划信息管理系统配套信息采集终端的数据录入。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免疫规划预防接种证信息终端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1、支持免疫规划预防接种证信息记录打印；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2、支持按照免疫规划疫苗及非免疫规划疫苗对应信息打印；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3、支持新增疫苗信息输入打印；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4、支持自动识别预防接种证边框位置功能。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免疫规划疫苗电子监管码采集终端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1、支持疫苗监管码信息采集；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2、支持采集的疫苗监管码上传至四川省免疫规划信息管理系统。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会议平板一体机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≥处理器i5第6代，≥65英寸触摸触控会议大屏，≥16GB运行内存，≥256GB存储，≥840×2160分辨率；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2、支持Android和Windows双操作系统，支持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全</w:t>
            </w: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铝合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金</w:t>
            </w: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外框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结构</w:t>
            </w: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和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莫氏7H</w:t>
            </w: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高硬度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防爆</w:t>
            </w: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钢化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玻璃</w:t>
            </w: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保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护</w:t>
            </w: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。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1台</w:t>
            </w:r>
          </w:p>
        </w:tc>
      </w:tr>
    </w:tbl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5"/>
        <w:tblW w:w="1002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103"/>
        <w:gridCol w:w="50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报价（元）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金牛区预防接种示教基地物资（第二批）采购项目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合计金额（大写）：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日期：</w:t>
      </w:r>
    </w:p>
    <w:p>
      <w:pPr>
        <w:spacing w:line="570" w:lineRule="atLeast"/>
        <w:jc w:val="center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spacing w:line="57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/>
        </w:rPr>
      </w:pPr>
    </w:p>
    <w:p>
      <w:pPr>
        <w:pStyle w:val="2"/>
        <w:spacing w:line="570" w:lineRule="atLeas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360" w:firstLineChars="150"/>
        <w:textAlignment w:val="auto"/>
        <w:rPr>
          <w:rFonts w:hint="default" w:ascii="Times New Roman" w:hAnsi="Times New Roman" w:eastAsia="方正仿宋_GBK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（制造商家名称）是在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。其主要营业地点现在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atLeas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  <w:bookmarkStart w:id="1" w:name="_Toc237343703"/>
      <w:bookmarkStart w:id="2" w:name="_Toc95295163"/>
      <w:bookmarkStart w:id="3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投标人名称：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1"/>
      <w:bookmarkEnd w:id="2"/>
      <w:bookmarkEnd w:id="3"/>
    </w:p>
    <w:p>
      <w:pPr>
        <w:spacing w:line="570" w:lineRule="atLeast"/>
        <w:rPr>
          <w:rFonts w:hint="default" w:ascii="Times New Roman" w:hAnsi="Times New Roman" w:eastAsia="方正仿宋_GBK" w:cs="Times New Roman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spacing w:line="570" w:lineRule="atLeast"/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日期：   年    月    日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697119"/>
    <w:multiLevelType w:val="singleLevel"/>
    <w:tmpl w:val="9E69711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787AB16"/>
    <w:multiLevelType w:val="singleLevel"/>
    <w:tmpl w:val="5787AB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2025-06-23T00:52:50Z</dcterms:created>
  <dc:creator>OS</dc:creator>
  <cp:lastModifiedBy>們泊冬吴@^_^</cp:lastModifiedBy>
  <dcterms:modified xsi:type="dcterms:W3CDTF">2025-06-23T01:15:32Z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