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w:t>
      </w:r>
    </w:p>
    <w:p>
      <w:pPr>
        <w:pStyle w:val="2"/>
        <w:spacing w:line="570" w:lineRule="atLeast"/>
        <w:rPr>
          <w:rFonts w:hint="default" w:ascii="Times New Roman" w:hAnsi="Times New Roman" w:eastAsia="方正黑体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一</w:t>
      </w:r>
      <w:r>
        <w:rPr>
          <w:rFonts w:hint="default" w:ascii="Times New Roman" w:hAnsi="Times New Roman" w:eastAsia="方正黑体_GBK" w:cs="Times New Roman"/>
          <w:kern w:val="2"/>
          <w:sz w:val="28"/>
          <w:szCs w:val="28"/>
          <w:lang w:val="en-US" w:eastAsia="zh-CN" w:bidi="ar-SA"/>
          <w14:ligatures w14:val="standardContextual"/>
        </w:rPr>
        <w:t>.项目名称：</w:t>
      </w:r>
      <w:bookmarkStart w:id="0" w:name="OLE_LINK3"/>
      <w:r>
        <w:rPr>
          <w:rFonts w:hint="eastAsia" w:eastAsia="方正仿宋_GBK" w:cs="Times New Roman"/>
          <w:kern w:val="2"/>
          <w:sz w:val="28"/>
          <w:szCs w:val="28"/>
          <w:lang w:val="en-US" w:eastAsia="zh-CN" w:bidi="ar-SA"/>
          <w14:ligatures w14:val="standardContextual"/>
        </w:rPr>
        <w:t>改造临时体检中心采购</w:t>
      </w:r>
      <w:r>
        <w:rPr>
          <w:rFonts w:hint="default" w:eastAsia="方正仿宋_GBK" w:cs="Times New Roman"/>
          <w:kern w:val="2"/>
          <w:sz w:val="28"/>
          <w:szCs w:val="28"/>
          <w:lang w:val="en-US" w:eastAsia="zh-CN" w:bidi="ar-SA"/>
          <w14:ligatures w14:val="standardContextual"/>
        </w:rPr>
        <w:t>项目</w:t>
      </w:r>
      <w:bookmarkEnd w:id="0"/>
      <w:r>
        <w:rPr>
          <w:rFonts w:hint="default" w:eastAsia="方正仿宋_GBK" w:cs="Times New Roman"/>
          <w:kern w:val="2"/>
          <w:sz w:val="28"/>
          <w:szCs w:val="28"/>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二</w:t>
      </w:r>
      <w:r>
        <w:rPr>
          <w:rFonts w:hint="default" w:ascii="Times New Roman" w:hAnsi="Times New Roman" w:eastAsia="方正黑体_GBK" w:cs="Times New Roman"/>
          <w:kern w:val="2"/>
          <w:sz w:val="28"/>
          <w:szCs w:val="28"/>
          <w:lang w:val="en-US" w:eastAsia="zh-CN" w:bidi="ar-SA"/>
          <w14:ligatures w14:val="standardContextual"/>
        </w:rPr>
        <w:t>.最高限价：</w:t>
      </w:r>
      <w:r>
        <w:rPr>
          <w:rFonts w:hint="eastAsia" w:eastAsia="方正仿宋_GBK" w:cs="Times New Roman"/>
          <w:kern w:val="2"/>
          <w:sz w:val="28"/>
          <w:szCs w:val="28"/>
          <w:lang w:val="en-US" w:eastAsia="zh-CN" w:bidi="ar-SA"/>
          <w14:ligatures w14:val="standardContextual"/>
        </w:rPr>
        <w:t>2.5</w:t>
      </w:r>
      <w:r>
        <w:rPr>
          <w:rFonts w:hint="default" w:ascii="Times New Roman" w:hAnsi="Times New Roman" w:eastAsia="方正仿宋_GBK" w:cs="Times New Roman"/>
          <w:kern w:val="2"/>
          <w:sz w:val="28"/>
          <w:szCs w:val="28"/>
          <w:lang w:val="en-US" w:eastAsia="zh-CN" w:bidi="ar-SA"/>
          <w14:ligatures w14:val="standardContextual"/>
        </w:rPr>
        <w:t>万元。</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三</w:t>
      </w:r>
      <w:r>
        <w:rPr>
          <w:rFonts w:hint="default" w:ascii="Times New Roman" w:hAnsi="Times New Roman" w:eastAsia="方正黑体_GBK" w:cs="Times New Roman"/>
          <w:kern w:val="2"/>
          <w:sz w:val="28"/>
          <w:szCs w:val="28"/>
          <w:lang w:val="en-US" w:eastAsia="zh-CN" w:bidi="ar-SA"/>
          <w14:ligatures w14:val="standardContextual"/>
        </w:rPr>
        <w:t>.相关要求：</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lang w:val="en-US" w:eastAsia="zh-CN" w:bidi="ar-SA"/>
          <w14:ligatures w14:val="standardContextual"/>
        </w:rPr>
        <w:t>（一）改造内容及要求：</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1.临时体检中心面积约为150㎡，需采用双层玻璃隔断（夹百页片）分隔4个房间，隔断高度为2.2米，包含4个磨砂玻璃门，隔断样式颜色由乙方提供给甲方选择。</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2.临时体检中心每个分隔区域内需新增照明及相关配套设施设备（强弱电插座、</w:t>
      </w:r>
      <w:r>
        <w:rPr>
          <w:rFonts w:hint="eastAsia" w:eastAsia="方正仿宋_GBK" w:cs="Times New Roman"/>
          <w:kern w:val="2"/>
          <w:sz w:val="28"/>
          <w:szCs w:val="28"/>
          <w:highlight w:val="none"/>
          <w:lang w:val="en-US" w:eastAsia="zh-CN" w:bidi="ar-SA"/>
          <w14:ligatures w14:val="standardContextual"/>
        </w:rPr>
        <w:t>网络线路等</w:t>
      </w:r>
      <w:r>
        <w:rPr>
          <w:rFonts w:hint="eastAsia" w:eastAsia="方正仿宋_GBK" w:cs="Times New Roman"/>
          <w:kern w:val="2"/>
          <w:sz w:val="28"/>
          <w:szCs w:val="28"/>
          <w:lang w:val="en-US" w:eastAsia="zh-CN" w:bidi="ar-SA"/>
          <w14:ligatures w14:val="standardContextual"/>
        </w:rPr>
        <w:t>）。</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3.施工期间严格按照医院指定时间段施工，做好环境仪器保护防尘工作，按时清理施工现场，不影响医院正常营业。</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4.修补恢复因施工导致的周围受损地面、墙面、附加设施等，确保正常使用。</w:t>
      </w:r>
    </w:p>
    <w:p>
      <w:pPr>
        <w:widowControl/>
        <w:adjustRightInd w:val="0"/>
        <w:snapToGrid w:val="0"/>
        <w:spacing w:line="360" w:lineRule="auto"/>
        <w:ind w:firstLine="0" w:firstLineChars="0"/>
        <w:jc w:val="left"/>
        <w:rPr>
          <w:rFonts w:hint="eastAsia" w:ascii="Times New Roman" w:hAnsi="Times New Roman" w:eastAsia="方正仿宋_GBK" w:cs="Times New Roman"/>
          <w:kern w:val="2"/>
          <w:sz w:val="28"/>
          <w:szCs w:val="28"/>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lang w:val="en-US" w:eastAsia="zh-CN" w:bidi="ar-SA"/>
          <w14:ligatures w14:val="standardContextual"/>
        </w:rPr>
        <w:t>（二）</w:t>
      </w:r>
      <w:r>
        <w:rPr>
          <w:rFonts w:hint="default" w:ascii="Times New Roman" w:hAnsi="Times New Roman" w:eastAsia="方正仿宋_GBK" w:cs="Times New Roman"/>
          <w:kern w:val="2"/>
          <w:sz w:val="28"/>
          <w:szCs w:val="28"/>
          <w:lang w:val="en-US" w:eastAsia="zh-CN" w:bidi="ar-SA"/>
          <w14:ligatures w14:val="standardContextual"/>
        </w:rPr>
        <w:t>商务服务要求</w:t>
      </w:r>
      <w:r>
        <w:rPr>
          <w:rFonts w:hint="eastAsia" w:ascii="Times New Roman" w:hAnsi="Times New Roman" w:eastAsia="方正仿宋_GBK" w:cs="Times New Roman"/>
          <w:kern w:val="2"/>
          <w:sz w:val="28"/>
          <w:szCs w:val="28"/>
          <w:lang w:val="en-US" w:eastAsia="zh-CN" w:bidi="ar-SA"/>
          <w14:ligatures w14:val="standardContextual"/>
        </w:rPr>
        <w:t>：</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1.履行期限：自合同签订起10个工作日内。</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2.履行地点：成都市金牛区妇幼保健院</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3.付款条件：施工工程整体竣工验收合格后供应商出具的相等的增值税发票资料后30个工作日支付完成。资金支付方式：公款公户。</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4.质量保修范围和保修期：由于乙方原因造成质量问题，乙方无条件地进行维修。保修期12个月，保修期自</w:t>
      </w:r>
      <w:bookmarkStart w:id="1" w:name="OLE_LINK5"/>
      <w:r>
        <w:rPr>
          <w:rFonts w:hint="eastAsia" w:eastAsia="方正仿宋_GBK" w:cs="Times New Roman"/>
          <w:kern w:val="2"/>
          <w:sz w:val="28"/>
          <w:szCs w:val="28"/>
          <w:lang w:val="en-US" w:eastAsia="zh-CN" w:bidi="ar-SA"/>
          <w14:ligatures w14:val="standardContextual"/>
        </w:rPr>
        <w:t>施工工程整体竣工验收合格</w:t>
      </w:r>
      <w:bookmarkEnd w:id="1"/>
      <w:r>
        <w:rPr>
          <w:rFonts w:hint="eastAsia" w:eastAsia="方正仿宋_GBK" w:cs="Times New Roman"/>
          <w:kern w:val="2"/>
          <w:sz w:val="28"/>
          <w:szCs w:val="28"/>
          <w:lang w:val="en-US" w:eastAsia="zh-CN" w:bidi="ar-SA"/>
          <w14:ligatures w14:val="standardContextual"/>
        </w:rPr>
        <w:t>之日起计算。</w:t>
      </w:r>
    </w:p>
    <w:p>
      <w:pPr>
        <w:pStyle w:val="2"/>
        <w:spacing w:line="570" w:lineRule="atLeast"/>
        <w:rPr>
          <w:rFonts w:hint="eastAsia"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5.责任与解决方法：产品保修期内若产生质量问题，卖方无条件保修包换。产品过保修期后产生质量问题，由采购人和施工方协商解决。</w:t>
      </w:r>
    </w:p>
    <w:p>
      <w:pPr>
        <w:pStyle w:val="2"/>
        <w:rPr>
          <w:rFonts w:hint="eastAsia"/>
          <w:lang w:val="en-US" w:eastAsia="zh-CN"/>
        </w:rPr>
      </w:pPr>
    </w:p>
    <w:p>
      <w:pPr>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lang w:val="en-US" w:eastAsia="zh-CN" w:bidi="ar-SA"/>
          <w14:ligatures w14:val="standardContextual"/>
        </w:rPr>
        <w:t>（三）工程清单：</w:t>
      </w:r>
    </w:p>
    <w:tbl>
      <w:tblPr>
        <w:tblStyle w:val="4"/>
        <w:tblW w:w="7988" w:type="dxa"/>
        <w:jc w:val="center"/>
        <w:tblInd w:w="0" w:type="dxa"/>
        <w:tblLayout w:type="fixed"/>
        <w:tblCellMar>
          <w:top w:w="0" w:type="dxa"/>
          <w:left w:w="108" w:type="dxa"/>
          <w:bottom w:w="0" w:type="dxa"/>
          <w:right w:w="108" w:type="dxa"/>
        </w:tblCellMar>
      </w:tblPr>
      <w:tblGrid>
        <w:gridCol w:w="990"/>
        <w:gridCol w:w="2120"/>
        <w:gridCol w:w="1203"/>
        <w:gridCol w:w="1491"/>
        <w:gridCol w:w="2184"/>
      </w:tblGrid>
      <w:tr>
        <w:tblPrEx>
          <w:tblLayout w:type="fixed"/>
          <w:tblCellMar>
            <w:top w:w="0" w:type="dxa"/>
            <w:left w:w="108" w:type="dxa"/>
            <w:bottom w:w="0" w:type="dxa"/>
            <w:right w:w="108" w:type="dxa"/>
          </w:tblCellMar>
        </w:tblPrEx>
        <w:trPr>
          <w:trHeight w:val="1002"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序号</w:t>
            </w:r>
          </w:p>
        </w:tc>
        <w:tc>
          <w:tcPr>
            <w:tcW w:w="2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分项名称</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计量</w:t>
            </w:r>
            <w:r>
              <w:rPr>
                <w:rFonts w:hint="eastAsia" w:ascii="宋体" w:hAnsi="宋体" w:cs="宋体"/>
                <w:b/>
                <w:bCs/>
                <w:color w:val="auto"/>
                <w:kern w:val="0"/>
                <w:sz w:val="22"/>
                <w:szCs w:val="22"/>
                <w:lang w:bidi="ar"/>
              </w:rPr>
              <w:br w:type="textWrapping"/>
            </w:r>
            <w:r>
              <w:rPr>
                <w:rFonts w:hint="eastAsia" w:ascii="宋体" w:hAnsi="宋体" w:cs="宋体"/>
                <w:b/>
                <w:bCs/>
                <w:color w:val="auto"/>
                <w:kern w:val="0"/>
                <w:sz w:val="22"/>
                <w:szCs w:val="22"/>
                <w:lang w:bidi="ar"/>
              </w:rPr>
              <w:t>单位</w:t>
            </w:r>
          </w:p>
        </w:tc>
        <w:tc>
          <w:tcPr>
            <w:tcW w:w="1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暂定工程量</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备注</w:t>
            </w:r>
          </w:p>
        </w:tc>
      </w:tr>
      <w:tr>
        <w:tblPrEx>
          <w:tblLayout w:type="fixed"/>
          <w:tblCellMar>
            <w:top w:w="0" w:type="dxa"/>
            <w:left w:w="108" w:type="dxa"/>
            <w:bottom w:w="0" w:type="dxa"/>
            <w:right w:w="108" w:type="dxa"/>
          </w:tblCellMar>
        </w:tblPrEx>
        <w:trPr>
          <w:trHeight w:val="100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w:t>
            </w:r>
          </w:p>
        </w:tc>
        <w:tc>
          <w:tcPr>
            <w:tcW w:w="2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color w:val="auto"/>
              </w:rPr>
              <w:t>双层玻璃隔断</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color w:val="auto"/>
              </w:rPr>
              <w:t>59.4</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0"/>
                <w:szCs w:val="20"/>
              </w:rPr>
            </w:pPr>
            <w:r>
              <w:rPr>
                <w:rFonts w:hint="eastAsia"/>
                <w:color w:val="auto"/>
              </w:rPr>
              <w:t>夹百页片、高2.2米</w:t>
            </w:r>
          </w:p>
        </w:tc>
      </w:tr>
      <w:tr>
        <w:tblPrEx>
          <w:tblLayout w:type="fixed"/>
          <w:tblCellMar>
            <w:top w:w="0" w:type="dxa"/>
            <w:left w:w="108" w:type="dxa"/>
            <w:bottom w:w="0" w:type="dxa"/>
            <w:right w:w="108" w:type="dxa"/>
          </w:tblCellMar>
        </w:tblPrEx>
        <w:trPr>
          <w:trHeight w:val="100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w:t>
            </w:r>
          </w:p>
        </w:tc>
        <w:tc>
          <w:tcPr>
            <w:tcW w:w="2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color w:val="auto"/>
              </w:rPr>
              <w:t>磨砂玻璃门</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auto"/>
                <w:sz w:val="20"/>
                <w:szCs w:val="20"/>
              </w:rPr>
            </w:pPr>
            <w:r>
              <w:rPr>
                <w:rFonts w:hint="eastAsia"/>
                <w:color w:val="auto"/>
              </w:rPr>
              <w:t>7.92</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包含门锁、门吸等配套设备。</w:t>
            </w:r>
          </w:p>
        </w:tc>
      </w:tr>
      <w:tr>
        <w:tblPrEx>
          <w:tblLayout w:type="fixed"/>
          <w:tblCellMar>
            <w:top w:w="0" w:type="dxa"/>
            <w:left w:w="108" w:type="dxa"/>
            <w:bottom w:w="0" w:type="dxa"/>
            <w:right w:w="108" w:type="dxa"/>
          </w:tblCellMar>
        </w:tblPrEx>
        <w:trPr>
          <w:trHeight w:val="100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3</w:t>
            </w:r>
          </w:p>
        </w:tc>
        <w:tc>
          <w:tcPr>
            <w:tcW w:w="2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rPr>
            </w:pPr>
            <w:r>
              <w:rPr>
                <w:rFonts w:hint="eastAsia"/>
                <w:color w:val="auto"/>
              </w:rPr>
              <w:t>照明及配套设备安装项目</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项</w:t>
            </w:r>
          </w:p>
        </w:tc>
        <w:tc>
          <w:tcPr>
            <w:tcW w:w="1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rPr>
            </w:pPr>
            <w:r>
              <w:rPr>
                <w:rFonts w:hint="eastAsia"/>
                <w:color w:val="auto"/>
              </w:rPr>
              <w:t>1</w:t>
            </w:r>
          </w:p>
        </w:tc>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隔断区域需新增加照明、强弱电插座等基础配套设施设备。</w:t>
            </w:r>
          </w:p>
        </w:tc>
      </w:tr>
      <w:tr>
        <w:tblPrEx>
          <w:tblLayout w:type="fixed"/>
          <w:tblCellMar>
            <w:top w:w="0" w:type="dxa"/>
            <w:left w:w="108" w:type="dxa"/>
            <w:bottom w:w="0" w:type="dxa"/>
            <w:right w:w="108" w:type="dxa"/>
          </w:tblCellMar>
        </w:tblPrEx>
        <w:trPr>
          <w:trHeight w:val="1305" w:hRule="atLeast"/>
          <w:jc w:val="center"/>
        </w:trPr>
        <w:tc>
          <w:tcPr>
            <w:tcW w:w="798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0"/>
                <w:szCs w:val="20"/>
              </w:rPr>
            </w:pPr>
            <w:bookmarkStart w:id="2" w:name="OLE_LINK2"/>
            <w:r>
              <w:rPr>
                <w:rFonts w:hint="eastAsia" w:ascii="宋体" w:hAnsi="宋体" w:cs="宋体"/>
                <w:color w:val="auto"/>
                <w:kern w:val="0"/>
                <w:sz w:val="20"/>
                <w:szCs w:val="20"/>
                <w:lang w:bidi="ar"/>
              </w:rPr>
              <w:t>含设施设备、辅材费、安装调试费、运输费、人力成本、利润、税金等。</w:t>
            </w:r>
            <w:bookmarkEnd w:id="2"/>
          </w:p>
        </w:tc>
      </w:tr>
    </w:tbl>
    <w:p>
      <w:pPr>
        <w:pStyle w:val="2"/>
        <w:rPr>
          <w:rFonts w:hint="default"/>
          <w:lang w:val="en-US" w:eastAsia="zh-CN"/>
        </w:rPr>
      </w:pPr>
    </w:p>
    <w:p>
      <w:pPr>
        <w:spacing w:line="570" w:lineRule="atLeast"/>
        <w:rPr>
          <w:rFonts w:hint="default" w:ascii="Times New Roman" w:hAnsi="Times New Roman" w:cs="Times New Roman"/>
          <w:lang w:val="en-US" w:eastAsia="zh-CN"/>
        </w:rPr>
      </w:pPr>
    </w:p>
    <w:p>
      <w:pPr>
        <w:spacing w:line="570" w:lineRule="atLeast"/>
        <w:rPr>
          <w:rFonts w:hint="default" w:ascii="Times New Roman" w:hAnsi="Times New Roman" w:cs="Times New Roman"/>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4"/>
        <w:tblW w:w="8460" w:type="dxa"/>
        <w:tblInd w:w="5" w:type="dxa"/>
        <w:shd w:val="clear" w:color="auto" w:fill="FFFFFF"/>
        <w:tblLayout w:type="fixed"/>
        <w:tblCellMar>
          <w:top w:w="0" w:type="dxa"/>
          <w:left w:w="0" w:type="dxa"/>
          <w:bottom w:w="0" w:type="dxa"/>
          <w:right w:w="0" w:type="dxa"/>
        </w:tblCellMar>
      </w:tblPr>
      <w:tblGrid>
        <w:gridCol w:w="5710"/>
        <w:gridCol w:w="2750"/>
      </w:tblGrid>
      <w:tr>
        <w:tblPrEx>
          <w:shd w:val="clear" w:color="auto" w:fill="FFFFFF"/>
          <w:tblLayout w:type="fixed"/>
          <w:tblCellMar>
            <w:top w:w="0" w:type="dxa"/>
            <w:left w:w="0" w:type="dxa"/>
            <w:bottom w:w="0" w:type="dxa"/>
            <w:right w:w="0" w:type="dxa"/>
          </w:tblCellMar>
        </w:tblPrEx>
        <w:trPr>
          <w:trHeight w:val="744" w:hRule="atLeast"/>
        </w:trPr>
        <w:tc>
          <w:tcPr>
            <w:tcW w:w="571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hint="eastAsia" w:ascii="Times New Roman" w:hAnsi="Times New Roman" w:eastAsia="仿宋_GB2312" w:cs="Times New Roman"/>
                <w:color w:val="333333"/>
                <w:kern w:val="0"/>
                <w:sz w:val="28"/>
                <w:szCs w:val="28"/>
                <w:highlight w:val="none"/>
              </w:rPr>
              <w:t>项目名称</w:t>
            </w:r>
          </w:p>
        </w:tc>
        <w:tc>
          <w:tcPr>
            <w:tcW w:w="27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hint="eastAsia" w:ascii="Times New Roman" w:hAnsi="Times New Roman" w:eastAsia="仿宋_GB2312" w:cs="Times New Roman"/>
                <w:color w:val="333333"/>
                <w:kern w:val="0"/>
                <w:sz w:val="28"/>
                <w:szCs w:val="28"/>
                <w:highlight w:val="none"/>
              </w:rPr>
              <w:t>报</w:t>
            </w:r>
            <w:r>
              <w:rPr>
                <w:rFonts w:ascii="Times New Roman" w:hAnsi="Times New Roman" w:eastAsia="仿宋_GB2312" w:cs="Times New Roman"/>
                <w:color w:val="333333"/>
                <w:kern w:val="0"/>
                <w:sz w:val="28"/>
                <w:szCs w:val="28"/>
                <w:highlight w:val="none"/>
              </w:rPr>
              <w:t>价（元）</w:t>
            </w:r>
          </w:p>
        </w:tc>
      </w:tr>
      <w:tr>
        <w:tblPrEx>
          <w:shd w:val="clear" w:color="auto" w:fill="FFFFFF"/>
          <w:tblLayout w:type="fixed"/>
          <w:tblCellMar>
            <w:top w:w="0" w:type="dxa"/>
            <w:left w:w="0" w:type="dxa"/>
            <w:bottom w:w="0" w:type="dxa"/>
            <w:right w:w="0" w:type="dxa"/>
          </w:tblCellMar>
        </w:tblPrEx>
        <w:trPr>
          <w:trHeight w:val="1142" w:hRule="atLeast"/>
        </w:trPr>
        <w:tc>
          <w:tcPr>
            <w:tcW w:w="5710"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hint="eastAsia" w:ascii="Times New Roman" w:hAnsi="Times New Roman" w:eastAsia="仿宋_GB2312" w:cs="Times New Roman"/>
                <w:color w:val="333333"/>
                <w:kern w:val="0"/>
                <w:sz w:val="28"/>
                <w:szCs w:val="28"/>
                <w:highlight w:val="none"/>
              </w:rPr>
              <w:t>改造临时体检中心采购</w:t>
            </w:r>
            <w:r>
              <w:rPr>
                <w:rFonts w:hint="default" w:ascii="Times New Roman" w:hAnsi="Times New Roman" w:eastAsia="仿宋_GB2312" w:cs="Times New Roman"/>
                <w:color w:val="333333"/>
                <w:kern w:val="0"/>
                <w:sz w:val="28"/>
                <w:szCs w:val="28"/>
                <w:highlight w:val="none"/>
                <w:lang w:val="en-US" w:eastAsia="zh-CN"/>
              </w:rPr>
              <w:t>项目</w:t>
            </w:r>
          </w:p>
        </w:tc>
        <w:tc>
          <w:tcPr>
            <w:tcW w:w="27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4"/>
                <w:highlight w:val="none"/>
              </w:rPr>
            </w:pPr>
          </w:p>
          <w:p>
            <w:pPr>
              <w:widowControl/>
              <w:wordWrap w:val="0"/>
              <w:spacing w:line="570" w:lineRule="atLeast"/>
              <w:jc w:val="center"/>
              <w:rPr>
                <w:rFonts w:ascii="Times New Roman" w:hAnsi="Times New Roman" w:eastAsia="宋体" w:cs="Times New Roman"/>
                <w:color w:val="333333"/>
                <w:kern w:val="0"/>
                <w:sz w:val="18"/>
                <w:szCs w:val="18"/>
                <w:highlight w:val="none"/>
              </w:rPr>
            </w:pP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bookmarkStart w:id="3" w:name="OLE_LINK4"/>
      <w:r>
        <w:rPr>
          <w:rFonts w:hint="default" w:ascii="Times New Roman" w:hAnsi="Times New Roman" w:eastAsia="方正仿宋_GBK" w:cs="Times New Roman"/>
          <w:sz w:val="28"/>
          <w:szCs w:val="28"/>
        </w:rPr>
        <w:t>报价应是最终用户验收合格后的总价，包括设备运输、保险、代理、安装调试、培训、税费、系统集成费用和采购文件规定的其它费用</w:t>
      </w:r>
      <w:bookmarkEnd w:id="3"/>
      <w:r>
        <w:rPr>
          <w:rFonts w:hint="default" w:ascii="Times New Roman" w:hAnsi="Times New Roman" w:eastAsia="方正仿宋_GBK" w:cs="Times New Roman"/>
          <w:sz w:val="28"/>
          <w:szCs w:val="28"/>
        </w:rPr>
        <w:t>。</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570" w:lineRule="atLeast"/>
        <w:jc w:val="center"/>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spacing w:line="570" w:lineRule="atLeast"/>
        <w:rPr>
          <w:rFonts w:hint="default" w:ascii="Times New Roman" w:hAnsi="Times New Roman" w:cs="Times New Roma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rPr>
      </w:pPr>
    </w:p>
    <w:p>
      <w:pPr>
        <w:pStyle w:val="2"/>
        <w:spacing w:line="570" w:lineRule="atLeast"/>
        <w:rPr>
          <w:rFonts w:hint="default"/>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bookmarkStart w:id="4" w:name="_Toc237343703"/>
      <w:bookmarkStart w:id="5" w:name="_Toc95295163"/>
      <w:bookmarkStart w:id="6"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4"/>
      <w:bookmarkEnd w:id="5"/>
      <w:bookmarkEnd w:id="6"/>
    </w:p>
    <w:p>
      <w:pPr>
        <w:spacing w:line="570" w:lineRule="atLeast"/>
        <w:rPr>
          <w:rFonts w:hint="default" w:ascii="Times New Roman" w:hAnsi="Times New Roman" w:eastAsia="方正仿宋_GBK" w:cs="Times New Roman"/>
        </w:rPr>
      </w:pPr>
    </w:p>
    <w:p>
      <w:pPr>
        <w:pStyle w:val="2"/>
        <w:spacing w:line="570" w:lineRule="atLeast"/>
        <w:rPr>
          <w:rFonts w:hint="default" w:ascii="Times New Roman" w:hAnsi="Times New Roman" w:eastAsia="方正仿宋_GBK" w:cs="Times New Roman"/>
          <w:color w:val="auto"/>
          <w:sz w:val="32"/>
          <w:szCs w:val="32"/>
          <w:lang w:val="en-US" w:eastAsia="zh-CN"/>
        </w:rPr>
      </w:pPr>
    </w:p>
    <w:p>
      <w:pPr>
        <w:pStyle w:val="2"/>
        <w:spacing w:line="570" w:lineRule="atLeast"/>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r>
        <w:rPr>
          <w:rFonts w:hint="default" w:ascii="Times New Roman" w:hAnsi="Times New Roman" w:eastAsia="方正小标宋_GBK" w:cs="Times New Roman"/>
          <w:color w:val="000000"/>
          <w:kern w:val="2"/>
          <w:sz w:val="28"/>
          <w:szCs w:val="22"/>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rPr>
        <w:t>日期：   年    月    日</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0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2025-06-20T02:39:46Z</dcterms:created>
  <dc:creator>OS</dc:creator>
  <cp:lastModifiedBy>們泊冬吴@^_^</cp:lastModifiedBy>
  <dcterms:modified xsi:type="dcterms:W3CDTF">2025-06-20T02:42:11Z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