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医院移动端微信小程序“信用就医”改造采购项目。。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.最高限价：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8.2万元。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.相关要求：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（一）</w:t>
      </w:r>
      <w:r>
        <w:rPr>
          <w:rFonts w:hint="default" w:ascii="Times New Roman" w:hAnsi="Times New Roman" w:cs="Times New Roman"/>
          <w:lang w:val="en-US" w:eastAsia="zh-CN"/>
        </w:rPr>
        <w:t>★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商务服务要求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59" w:leftChars="266" w:right="0" w:firstLine="0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1.交货时间：自合同签订后60天内。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2.交货地点：成都市金牛区妇幼保健院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3.付款方式：项目验收后，采购人收到供应商发票后支付合同金额的100%。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4.履约验收：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①履约验收主体：成都市金牛区妇幼保健院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②履约验收时间：供应商提出验收申请之日起30日内组织验收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③验收组织方式：自行验收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④履约验收程序：一次性验收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⑤技术履约验收内容：按照本项目招标文件中“技术参数要求”及中标人投标文件进行验收。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⑥商务履约验收内容：按照本项目招标文件中“商务要求”及中标人投标文件进行验收。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⑦履约验收标准：其他未尽事宜参照《财政部关于进一步加强政府采购需求和履约验收管理的指导意见》（财库〔2016〕205号）等政府采购相关法律法规的要求进行。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5.质保期：1年（从验收合格之日起计算）。质保期内中标人应负责系统及设备维修维护。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6.包装方式及运输：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570" w:lineRule="atLeast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技术参数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★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系统功能要求</w:t>
      </w:r>
    </w:p>
    <w:tbl>
      <w:tblPr>
        <w:tblStyle w:val="5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81"/>
        <w:gridCol w:w="2550"/>
        <w:gridCol w:w="3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功能点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信用就医签约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信用就医入口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小程序首页增加“信用就医”入口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信用签约状态查询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市民点击对应绑卡用户，可查询信用签约状态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信用签约跳转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市民通过该板块跳转银行“信用就医”小程序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信用就医支付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挂号信用就医支付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市民在微信小程序挂号时可选择信用就医方式进行支付，系统判断市民的签约状态，</w:t>
            </w:r>
            <w:bookmarkStart w:id="0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授权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后可确认使用信用就医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门诊缴费信用就医支付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市民在微信小程序门诊缴费时可选择信用就医方式进行支付，系统判断市民的签约状态，授权后可确认使用信用就医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住院押金缴费信用就医支付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市民在微信小程序缴纳住院押金时可选择信用就医方式进行支付，系统判断市民的签约状态，授权后可确认使用信用就医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信用就医退费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挂号信用就医支付取消退费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市民在微信小程序选择信用就医途径挂号后，在就诊前一天前可选择线上取消号源，取消后系统自动进行信用就医退款操作</w:t>
            </w:r>
          </w:p>
        </w:tc>
      </w:tr>
    </w:tbl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注：（“</w:t>
      </w:r>
      <w:bookmarkStart w:id="1" w:name="OLE_LINK3"/>
      <w:r>
        <w:rPr>
          <w:rFonts w:hint="default" w:ascii="Times New Roman" w:hAnsi="Times New Roman" w:cs="Times New Roman"/>
          <w:lang w:val="en-US" w:eastAsia="zh-CN"/>
        </w:rPr>
        <w:t>★</w:t>
      </w:r>
      <w:bookmarkEnd w:id="1"/>
      <w:r>
        <w:rPr>
          <w:rFonts w:hint="default" w:ascii="Times New Roman" w:hAnsi="Times New Roman" w:cs="Times New Roman"/>
          <w:lang w:val="en-US" w:eastAsia="zh-CN"/>
        </w:rPr>
        <w:t>”为实质性要求，不满足视为无效响应）</w:t>
      </w: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fill="FFFFFF"/>
                <w:lang w:val="en-US" w:eastAsia="zh-CN"/>
              </w:rPr>
              <w:t>医院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fill="FFFFFF"/>
                <w:lang w:val="en-US" w:eastAsia="zh-CN"/>
              </w:rPr>
              <w:t>移动端微信小程序“信用就医”改造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fill="FFFFFF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shd w:val="clear" w:fill="FFFFFF"/>
                <w:lang w:val="en-US" w:eastAsia="zh-CN"/>
              </w:rPr>
              <w:t>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合计金额（大写）：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2" w:name="_Toc95295163"/>
      <w:bookmarkStart w:id="3" w:name="_Toc174767233"/>
      <w:bookmarkStart w:id="4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spacing w:line="570" w:lineRule="atLeast"/>
        <w:rPr>
          <w:rFonts w:hint="default" w:ascii="Times New Roman" w:hAnsi="Times New Roman" w:eastAsia="方正仿宋_GBK" w:cs="Times New Roman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spacing w:line="570" w:lineRule="atLeast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both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C76B62"/>
    <w:multiLevelType w:val="singleLevel"/>
    <w:tmpl w:val="B0C76B6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46DE"/>
    <w:rsid w:val="21B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2025-06-10T06:13:00Z</dcterms:created>
  <dc:creator>OS</dc:creator>
  <cp:lastModifiedBy>們泊冬吴@^_^</cp:lastModifiedBy>
  <dcterms:modified xsi:type="dcterms:W3CDTF">2025-06-10T06:17:34Z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