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both"/>
        <w:rPr>
          <w:rFonts w:hint="default" w:ascii="Times New Roman" w:hAnsi="Times New Roman" w:eastAsia="方正小标宋_GBK" w:cs="Times New Roman"/>
          <w:color w:val="auto"/>
          <w:kern w:val="0"/>
          <w:sz w:val="32"/>
          <w:szCs w:val="32"/>
          <w:highlight w:val="none"/>
          <w:lang w:val="en-US" w:eastAsia="zh-CN"/>
        </w:rPr>
      </w:pPr>
      <w:r>
        <w:rPr>
          <w:rFonts w:hint="default" w:ascii="Times New Roman" w:hAnsi="Times New Roman" w:eastAsia="方正小标宋_GBK" w:cs="Times New Roman"/>
          <w:color w:val="auto"/>
          <w:kern w:val="0"/>
          <w:sz w:val="32"/>
          <w:szCs w:val="32"/>
          <w:highlight w:val="none"/>
          <w:lang w:val="en-US" w:eastAsia="zh-CN"/>
        </w:rPr>
        <w:t>附件：</w:t>
      </w:r>
    </w:p>
    <w:p>
      <w:pPr>
        <w:pStyle w:val="2"/>
        <w:spacing w:line="570" w:lineRule="atLeast"/>
        <w:rPr>
          <w:rFonts w:hint="default" w:ascii="Times New Roman" w:hAnsi="Times New Roman" w:eastAsia="方正黑体_GBK" w:cs="Times New Roman"/>
          <w:color w:val="auto"/>
          <w:kern w:val="2"/>
          <w:sz w:val="28"/>
          <w:szCs w:val="28"/>
          <w:highlight w:val="none"/>
          <w:lang w:val="en-US" w:eastAsia="zh-CN" w:bidi="ar-SA"/>
          <w14:ligatures w14:val="standardContextual"/>
        </w:rPr>
      </w:pPr>
      <w:r>
        <w:rPr>
          <w:rFonts w:hint="eastAsia" w:eastAsia="方正黑体_GBK" w:cs="Times New Roman"/>
          <w:color w:val="auto"/>
          <w:kern w:val="2"/>
          <w:sz w:val="28"/>
          <w:szCs w:val="28"/>
          <w:highlight w:val="none"/>
          <w:lang w:val="en-US" w:eastAsia="zh-CN" w:bidi="ar-SA"/>
          <w14:ligatures w14:val="standardContextual"/>
        </w:rPr>
        <w:t>一</w:t>
      </w:r>
      <w:r>
        <w:rPr>
          <w:rFonts w:hint="default" w:ascii="Times New Roman" w:hAnsi="Times New Roman" w:eastAsia="方正黑体_GBK" w:cs="Times New Roman"/>
          <w:color w:val="auto"/>
          <w:kern w:val="2"/>
          <w:sz w:val="28"/>
          <w:szCs w:val="28"/>
          <w:highlight w:val="none"/>
          <w:lang w:val="en-US" w:eastAsia="zh-CN" w:bidi="ar-SA"/>
          <w14:ligatures w14:val="standardContextual"/>
        </w:rPr>
        <w:t>.项目名称：</w:t>
      </w:r>
      <w:r>
        <w:rPr>
          <w:rFonts w:hint="default" w:eastAsia="方正仿宋_GBK" w:cs="Times New Roman"/>
          <w:color w:val="auto"/>
          <w:kern w:val="2"/>
          <w:sz w:val="28"/>
          <w:szCs w:val="28"/>
          <w:highlight w:val="none"/>
          <w:lang w:val="en-US" w:eastAsia="zh-CN" w:bidi="ar-SA"/>
          <w14:ligatures w14:val="standardContextual"/>
        </w:rPr>
        <w:t>婴幼儿配方乳粉配送服务采购项目。</w:t>
      </w:r>
    </w:p>
    <w:p>
      <w:pPr>
        <w:pStyle w:val="2"/>
        <w:spacing w:line="570" w:lineRule="atLeast"/>
        <w:rPr>
          <w:rFonts w:hint="default"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eastAsia="方正黑体_GBK" w:cs="Times New Roman"/>
          <w:color w:val="auto"/>
          <w:kern w:val="2"/>
          <w:sz w:val="28"/>
          <w:szCs w:val="28"/>
          <w:highlight w:val="none"/>
          <w:lang w:val="en-US" w:eastAsia="zh-CN" w:bidi="ar-SA"/>
          <w14:ligatures w14:val="standardContextual"/>
        </w:rPr>
        <w:t>二</w:t>
      </w:r>
      <w:r>
        <w:rPr>
          <w:rFonts w:hint="default" w:ascii="Times New Roman" w:hAnsi="Times New Roman" w:eastAsia="方正黑体_GBK" w:cs="Times New Roman"/>
          <w:color w:val="auto"/>
          <w:kern w:val="2"/>
          <w:sz w:val="28"/>
          <w:szCs w:val="28"/>
          <w:highlight w:val="none"/>
          <w:lang w:val="en-US" w:eastAsia="zh-CN" w:bidi="ar-SA"/>
          <w14:ligatures w14:val="standardContextual"/>
        </w:rPr>
        <w:t>.</w:t>
      </w:r>
      <w:r>
        <w:rPr>
          <w:rFonts w:hint="eastAsia" w:eastAsia="方正黑体_GBK" w:cs="Times New Roman"/>
          <w:color w:val="auto"/>
          <w:kern w:val="2"/>
          <w:sz w:val="28"/>
          <w:szCs w:val="28"/>
          <w:highlight w:val="none"/>
          <w:lang w:val="en-US" w:eastAsia="zh-CN" w:bidi="ar-SA"/>
          <w14:ligatures w14:val="standardContextual"/>
        </w:rPr>
        <w:t>单价</w:t>
      </w:r>
      <w:r>
        <w:rPr>
          <w:rFonts w:hint="default" w:ascii="Times New Roman" w:hAnsi="Times New Roman" w:eastAsia="方正黑体_GBK" w:cs="Times New Roman"/>
          <w:color w:val="auto"/>
          <w:kern w:val="2"/>
          <w:sz w:val="28"/>
          <w:szCs w:val="28"/>
          <w:highlight w:val="none"/>
          <w:lang w:val="en-US" w:eastAsia="zh-CN" w:bidi="ar-SA"/>
          <w14:ligatures w14:val="standardContextual"/>
        </w:rPr>
        <w:t>限价：</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详见</w:t>
      </w:r>
      <w:r>
        <w:rPr>
          <w:rFonts w:hint="eastAsia" w:eastAsia="方正仿宋_GBK" w:cs="Times New Roman"/>
          <w:color w:val="auto"/>
          <w:kern w:val="2"/>
          <w:sz w:val="28"/>
          <w:szCs w:val="28"/>
          <w:highlight w:val="none"/>
          <w:lang w:val="en-US" w:eastAsia="zh-CN" w:bidi="ar-SA"/>
          <w14:ligatures w14:val="standardContextual"/>
        </w:rPr>
        <w:t>配送清单</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超过单价限价的报价，其比选申请文件作无效处理。</w:t>
      </w:r>
    </w:p>
    <w:p>
      <w:pPr>
        <w:pStyle w:val="2"/>
        <w:spacing w:line="570" w:lineRule="atLeast"/>
        <w:rPr>
          <w:rFonts w:hint="default"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eastAsia="方正黑体_GBK" w:cs="Times New Roman"/>
          <w:color w:val="auto"/>
          <w:kern w:val="2"/>
          <w:sz w:val="28"/>
          <w:szCs w:val="28"/>
          <w:highlight w:val="none"/>
          <w:lang w:val="en-US" w:eastAsia="zh-CN" w:bidi="ar-SA"/>
          <w14:ligatures w14:val="standardContextual"/>
        </w:rPr>
        <w:t>三</w:t>
      </w:r>
      <w:r>
        <w:rPr>
          <w:rFonts w:hint="default" w:ascii="Times New Roman" w:hAnsi="Times New Roman" w:eastAsia="方正黑体_GBK" w:cs="Times New Roman"/>
          <w:color w:val="auto"/>
          <w:kern w:val="2"/>
          <w:sz w:val="28"/>
          <w:szCs w:val="28"/>
          <w:highlight w:val="none"/>
          <w:lang w:val="en-US" w:eastAsia="zh-CN" w:bidi="ar-SA"/>
          <w14:ligatures w14:val="standardContextual"/>
        </w:rPr>
        <w:t>.相关要求：</w:t>
      </w:r>
    </w:p>
    <w:p>
      <w:pPr>
        <w:pStyle w:val="2"/>
        <w:spacing w:line="570" w:lineRule="atLeast"/>
        <w:rPr>
          <w:rFonts w:hint="eastAsia" w:eastAsia="方正仿宋_GBK" w:cs="Times New Roman"/>
          <w:color w:val="auto"/>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eastAsia="方正仿宋_GBK" w:cs="Times New Roman"/>
          <w:color w:val="auto"/>
          <w:kern w:val="2"/>
          <w:sz w:val="28"/>
          <w:szCs w:val="28"/>
          <w:highlight w:val="none"/>
          <w:lang w:val="en-US" w:eastAsia="zh-CN" w:bidi="ar-SA"/>
          <w14:ligatures w14:val="standardContextual"/>
        </w:rPr>
        <w:t>（一）配送清单</w:t>
      </w:r>
    </w:p>
    <w:p>
      <w:pPr>
        <w:pStyle w:val="2"/>
        <w:spacing w:line="570" w:lineRule="atLeast"/>
        <w:rPr>
          <w:rFonts w:hint="eastAsia" w:eastAsia="方正仿宋_GBK" w:cs="Times New Roman"/>
          <w:color w:val="auto"/>
          <w:kern w:val="2"/>
          <w:sz w:val="28"/>
          <w:szCs w:val="28"/>
          <w:highlight w:val="none"/>
          <w:vertAlign w:val="baseline"/>
          <w:lang w:val="en-US" w:eastAsia="zh-CN" w:bidi="ar-SA"/>
          <w14:ligatures w14:val="standardContextual"/>
        </w:rPr>
      </w:pPr>
      <w:r>
        <w:rPr>
          <w:rFonts w:hint="eastAsia" w:eastAsia="方正仿宋_GBK" w:cs="Times New Roman"/>
          <w:color w:val="auto"/>
          <w:kern w:val="2"/>
          <w:sz w:val="28"/>
          <w:szCs w:val="28"/>
          <w:highlight w:val="none"/>
          <w:lang w:val="en-US" w:eastAsia="zh-CN" w:bidi="ar-SA"/>
          <w14:ligatures w14:val="standardContextual"/>
        </w:rPr>
        <w:t>采购包1</w:t>
      </w:r>
    </w:p>
    <w:tbl>
      <w:tblPr>
        <w:tblStyle w:val="5"/>
        <w:tblW w:w="86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0"/>
        <w:gridCol w:w="1091"/>
        <w:gridCol w:w="5767"/>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bookmarkStart w:id="0" w:name="OLE_LINK2" w:colFirst="2" w:colLast="3"/>
            <w:bookmarkStart w:id="1" w:name="OLE_LINK3"/>
            <w:r>
              <w:rPr>
                <w:rFonts w:hint="eastAsia" w:ascii="宋体" w:hAnsi="宋体" w:eastAsia="宋体" w:cs="宋体"/>
                <w:b/>
                <w:i w:val="0"/>
                <w:color w:val="auto"/>
                <w:kern w:val="0"/>
                <w:sz w:val="22"/>
                <w:szCs w:val="22"/>
                <w:highlight w:val="none"/>
                <w:u w:val="none"/>
                <w:lang w:val="en-US" w:eastAsia="zh-CN" w:bidi="ar"/>
              </w:rPr>
              <w:t>序号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品种</w:t>
            </w:r>
          </w:p>
        </w:tc>
        <w:tc>
          <w:tcPr>
            <w:tcW w:w="5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功能属性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最高单价限价（元/g或元/ml/个/粒）</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bookmarkStart w:id="2" w:name="OLE_LINK14" w:colFirst="0" w:colLast="1"/>
            <w:r>
              <w:rPr>
                <w:rFonts w:hint="eastAsia" w:ascii="宋体" w:hAnsi="宋体" w:eastAsia="宋体" w:cs="宋体"/>
                <w:i w:val="0"/>
                <w:color w:val="auto"/>
                <w:kern w:val="0"/>
                <w:sz w:val="22"/>
                <w:szCs w:val="22"/>
                <w:highlight w:val="none"/>
                <w:u w:val="none"/>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普通配方奶</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1、0-1岁普通配方，64-70kcal/100ml，粉剂，规格小听为280-450克</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2、适用于母乳不足的新生儿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液态普通配方</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1、0-1岁普通配方，64-70kcal/100ml，水剂50-100ml/瓶</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2、适用于母乳不足的新生儿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8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早产儿配方（配方1）</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食品安全国家标准特殊医学用途婴儿配方食品通则》，并取得国家市场监督管理总局颁发的《特殊医学用途配方食品注册证》，产品类别为：早产/低出生体重婴儿配方；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2、0-1岁早产配方，80-86kcal/100ml,粉剂，规格小听为280-450克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2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早产儿配方（配方2）</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食品安全国家标准特殊医学用途婴儿配方食品通则》，并取得国家市场监督管理总局颁发的《特殊医学用途配方食品注册证》，产品类别为：早产/低出生体重婴儿配方；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2、0-1岁早产配方，72-76kcal/100ml,粉剂，规格为小听280-450克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乳蛋白部分水解</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食品安全国家标准特殊医学用途婴儿配方食品通则》，并取得国家市场监督管理总局颁发的《特殊医学用途配方食品注册证》，产品类别为：乳蛋白部分水解配方；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2、0-1岁蛋白部分水解配方64-70kcal/100ml，粉剂，规格小听为280-450克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0.17/g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4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乳蛋白部分水解（低乳糖）</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食品安全国家标准特殊医学用途婴儿配方食品通则》，并取得国家市场监督管理总局颁发的《特殊医学用途配方食品注册证》，产品类别为：乳蛋白部分水解配方；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2、0-1岁蛋白部分水解配方64-70kcal/100ml，粉剂，规格小听为280-450克</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3、乳糖含量低于普通配方30%</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0.17/g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无乳糖配方</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食品安全国家标准特殊医学用途婴儿配方食品通则》，并取得国家市场监督管理总局颁发的《特殊医学用途配方食品注册证》，产品类别为：无乳糖配方；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2、0-1岁无乳糖配方，64-70kcal/100ml，粉剂，规格小听为280-450克。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0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乳蛋白深度水解（无乳糖）</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食品安全国家标准特殊医学用途婴儿配方食品通则》，并取得国家市场监督管理总局颁发的《特殊医学用途配方食品注册证》，产品类别为：乳蛋白深度水解配方；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2、蛋白深度水解且无乳糖配方，64-70kcal/100ml，粉剂，规格小听为280-420克。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0.9/g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乳蛋白深度水解（有乳糖）</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食品安全国家标准特殊医学用途婴儿配方食品通则》，并取得国家市场监督管理总局颁发的《特殊医学用途配方食品注册证》，产品类别为：乳蛋白深度水解配方；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w:t>
            </w:r>
            <w:bookmarkStart w:id="3" w:name="OLE_LINK11"/>
            <w:r>
              <w:rPr>
                <w:rFonts w:hint="eastAsia" w:ascii="宋体" w:hAnsi="宋体" w:eastAsia="宋体" w:cs="宋体"/>
                <w:i w:val="0"/>
                <w:color w:val="auto"/>
                <w:kern w:val="0"/>
                <w:sz w:val="22"/>
                <w:szCs w:val="22"/>
                <w:highlight w:val="none"/>
                <w:u w:val="none"/>
                <w:lang w:val="en-US" w:eastAsia="zh-CN" w:bidi="ar"/>
              </w:rPr>
              <w:t>0-1岁</w:t>
            </w:r>
            <w:bookmarkEnd w:id="3"/>
            <w:r>
              <w:rPr>
                <w:rFonts w:hint="eastAsia" w:ascii="宋体" w:hAnsi="宋体" w:eastAsia="宋体" w:cs="宋体"/>
                <w:i w:val="0"/>
                <w:color w:val="auto"/>
                <w:kern w:val="0"/>
                <w:sz w:val="22"/>
                <w:szCs w:val="22"/>
                <w:highlight w:val="none"/>
                <w:u w:val="none"/>
                <w:lang w:val="en-US" w:eastAsia="zh-CN" w:bidi="ar"/>
              </w:rPr>
              <w:t>蛋白深度水解且含乳糖配方，64-70kcal/100ml ，粉剂，规格小听为280-450克。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5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深度水解高能量（&gt;1岁）</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食品安全国家标准特殊医学用途婴儿配方食品通则》，并取得国家市场监督管理总局颁发的《特殊医学用途配方食品注册证》，产品类别为：全营养配方；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2、&gt;1岁以上水解配方，能量80-100kcal/100ml，粉剂，规格小听为280-450g。</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0.9/g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5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氨基酸配方（0-1岁）</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食品安全国家标准特殊医学用途婴儿配方食品通则》，并取得国家市场监督管理总局颁发的《特殊医学用途配方食品注册证》，产品类别为：氨基酸配方；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w:t>
            </w:r>
            <w:bookmarkStart w:id="4" w:name="OLE_LINK9"/>
            <w:r>
              <w:rPr>
                <w:rFonts w:hint="eastAsia" w:ascii="宋体" w:hAnsi="宋体" w:eastAsia="宋体" w:cs="宋体"/>
                <w:i w:val="0"/>
                <w:color w:val="auto"/>
                <w:kern w:val="0"/>
                <w:sz w:val="22"/>
                <w:szCs w:val="22"/>
                <w:highlight w:val="none"/>
                <w:u w:val="none"/>
                <w:lang w:val="en-US" w:eastAsia="zh-CN" w:bidi="ar"/>
              </w:rPr>
              <w:t>0-1岁</w:t>
            </w:r>
            <w:bookmarkEnd w:id="4"/>
            <w:r>
              <w:rPr>
                <w:rFonts w:hint="eastAsia" w:ascii="宋体" w:hAnsi="宋体" w:eastAsia="宋体" w:cs="宋体"/>
                <w:i w:val="0"/>
                <w:color w:val="auto"/>
                <w:kern w:val="0"/>
                <w:sz w:val="22"/>
                <w:szCs w:val="22"/>
                <w:highlight w:val="none"/>
                <w:u w:val="none"/>
                <w:lang w:val="en-US" w:eastAsia="zh-CN" w:bidi="ar"/>
              </w:rPr>
              <w:t>氨基酸配方，不含乳成分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3、粉剂，规格小听为280-450克。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6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母乳营养补充剂</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食品安全国家标准特殊医学用途婴儿配方食品通则》，并取得国家市场监督管理总局颁发的《特殊医学用途配方食品注册证》，产品类别为：母乳营养补充剂；</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2、粉剂，单次剂量包装，添加到母乳中，适用于早产或低体重儿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8.3/g</w:t>
            </w:r>
          </w:p>
        </w:tc>
      </w:tr>
      <w:bookmarkEnd w:id="2"/>
    </w:tbl>
    <w:p>
      <w:pPr>
        <w:pStyle w:val="2"/>
        <w:spacing w:line="570" w:lineRule="atLeast"/>
        <w:rPr>
          <w:rFonts w:hint="default" w:eastAsia="方正仿宋_GBK" w:cs="Times New Roman"/>
          <w:color w:val="auto"/>
          <w:kern w:val="2"/>
          <w:sz w:val="28"/>
          <w:szCs w:val="28"/>
          <w:highlight w:val="none"/>
          <w:lang w:val="en-US" w:eastAsia="zh-CN" w:bidi="ar-SA"/>
          <w14:ligatures w14:val="standardContextual"/>
        </w:rPr>
      </w:pPr>
      <w:r>
        <w:rPr>
          <w:rFonts w:hint="eastAsia" w:eastAsia="方正仿宋_GBK" w:cs="Times New Roman"/>
          <w:color w:val="auto"/>
          <w:kern w:val="2"/>
          <w:sz w:val="28"/>
          <w:szCs w:val="28"/>
          <w:highlight w:val="none"/>
          <w:lang w:val="en-US" w:eastAsia="zh-CN" w:bidi="ar-SA"/>
          <w14:ligatures w14:val="standardContextual"/>
        </w:rPr>
        <w:t>采购包2</w:t>
      </w:r>
    </w:p>
    <w:tbl>
      <w:tblPr>
        <w:tblStyle w:val="5"/>
        <w:tblW w:w="8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8"/>
        <w:gridCol w:w="1095"/>
        <w:gridCol w:w="577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2" w:hRule="atLeast"/>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品种</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功能属性</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最高单价限价（元/g或元/ml/个/粒）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3" w:hRule="atLeast"/>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普通配方奶</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1、0-1岁普通配方，64-70kcal/100ml，粉剂，规格小听为300-450克</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2、适用于母乳不足的新生儿</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11" w:hRule="atLeast"/>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液态普通配方</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1、0-1岁普通配方，64-70kcal/100ml，水剂60-90ml/瓶</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2、适用于母乳不足的新生儿</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0.1/ml</w:t>
            </w:r>
          </w:p>
        </w:tc>
      </w:tr>
      <w:bookmarkEnd w:id="1"/>
    </w:tbl>
    <w:p>
      <w:pPr>
        <w:pStyle w:val="3"/>
        <w:jc w:val="left"/>
        <w:rPr>
          <w:rFonts w:hint="default"/>
          <w:color w:val="auto"/>
          <w:highlight w:val="none"/>
          <w:lang w:val="en-US" w:eastAsia="zh-CN"/>
        </w:rPr>
      </w:pPr>
    </w:p>
    <w:p>
      <w:pPr>
        <w:widowControl/>
        <w:numPr>
          <w:ilvl w:val="0"/>
          <w:numId w:val="0"/>
        </w:numPr>
        <w:adjustRightInd w:val="0"/>
        <w:snapToGrid w:val="0"/>
        <w:spacing w:line="360" w:lineRule="auto"/>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ascii="Times New Roman" w:hAnsi="Times New Roman" w:eastAsia="方正仿宋_GBK" w:cs="Times New Roman"/>
          <w:color w:val="auto"/>
          <w:kern w:val="2"/>
          <w:sz w:val="28"/>
          <w:szCs w:val="28"/>
          <w:highlight w:val="none"/>
          <w:lang w:val="en-US" w:eastAsia="zh-CN" w:bidi="ar-SA"/>
          <w14:ligatures w14:val="standardContextual"/>
        </w:rPr>
        <w:t>（二）</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商务服务要求</w:t>
      </w:r>
      <w:r>
        <w:rPr>
          <w:rFonts w:hint="eastAsia" w:ascii="Times New Roman" w:hAnsi="Times New Roman" w:eastAsia="方正仿宋_GBK" w:cs="Times New Roman"/>
          <w:color w:val="auto"/>
          <w:kern w:val="2"/>
          <w:sz w:val="28"/>
          <w:szCs w:val="28"/>
          <w:highlight w:val="none"/>
          <w:lang w:val="en-US" w:eastAsia="zh-CN" w:bidi="ar-SA"/>
          <w14:ligatures w14:val="standardContextual"/>
        </w:rPr>
        <w:t>：</w:t>
      </w:r>
    </w:p>
    <w:p>
      <w:pPr>
        <w:widowControl/>
        <w:numPr>
          <w:ilvl w:val="0"/>
          <w:numId w:val="0"/>
        </w:numPr>
        <w:adjustRightInd w:val="0"/>
        <w:snapToGrid w:val="0"/>
        <w:spacing w:line="360" w:lineRule="auto"/>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1、履约时间：合同签订之日起1年。</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2、服务地点：成都市金牛区妇幼保健院</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3、供货方式时间：</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（1）中标供应商按照采购人每次所提供的清单及数量进行配送。</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（2）中标供应商须在采购人规定时间内，将采购人所需物资配送至指定地点入库。与库房管理人员共同对物资品种、数量、质量核对、验收，验收合格后签字确认。</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（3）若采购人有临时紧急需求，中标供应商须在接到采购人通知后24小时内送达至采购人指定位置。</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（4）中标供应商提供一式两联的送货单，明确日期、物资种类、规格、数量、价格，送货时交予库房管理人员签收，并作为双方结账的凭证。</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4、付款方式：季度据实结算，中标供应商结算货款时，以采购人实际采购量（签收单）为准。双方应于每季度完成对账。对账时，中标供应商须附物资验收单（须库房管理人员签字），并提供正式发票。</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ascii="Times New Roman" w:hAnsi="Times New Roman" w:eastAsia="方正仿宋_GBK" w:cs="Times New Roman"/>
          <w:color w:val="auto"/>
          <w:kern w:val="2"/>
          <w:sz w:val="28"/>
          <w:szCs w:val="28"/>
          <w:highlight w:val="none"/>
          <w:lang w:val="en-US" w:eastAsia="zh-CN" w:bidi="ar-SA"/>
          <w14:ligatures w14:val="standardContextual"/>
        </w:rPr>
        <w:t>（三）配送服务要求：</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供应商应承诺能够按照采购合同规定的质量、价格、规格及时供货。如中标后因投标人自身原因，直接影响采购人工作，对采购人造成直接或间接经济损失及负面影响的，将停止供货，并按照相关法律及规定承担赔偿责任。(投标时须提供承诺函， 格式自拟，并加盖供应商公章)</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2、质保期内由于产品质量原因造成的任何损伤和损坏，中标人负责包换、包退， 费用包含在投标总价内，采购人不再另行支付费用。</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3、中标人负责对货物送达、配送；交付全过程的装卸、运输、仓储等一切事宜， 费用包含在投标总价内，采购人不再另行支付费用。</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4、装卸、运输、仓储过程应充分考虑可能遇到的各种情况，避免货物遭受暴晒、浸泡、碰撞、挤压、剧烈震荡等伤害，注意防火、防盗、防爆、防雷击，保证货物完好，不被丢失、损坏、损毁或灭失。中标人在保证货物财产安全的同时，还须注意人员安全，避免危害他人身体健康和造成人员伤亡情况的发生。如在上述装卸、运输、仓储过程中出现任何货物损坏、损毁、丢失、灭失或人员伤亡等情况，一切责任由中标人承担。</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5、货物的包装均应有防潮、防湿、防锈、防雨及防撞等措施，凡由于包装不良造成的损失和由此产生的费用均由投标人承担。</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6、供应商须提供项目负责人1名负责该项目的对接工作，服务专职供货人员1名，负责该项目的供应配送工作。(投标时须提供承诺函，格式自拟，并加盖供应商公章)</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7、供应商须按照采购人要求进行配送，配送物资须按采购人的要求提供，否则采购人有权拒收。供应商在收到采购人采购清单后进行送货。对紧急情况的，在收到采购清单通知后，2 4小时内送达。供应商须向采购人公示配送人员姓名、联系方式及配送车辆信息，产品运输、搬运所需费用均由供应商承担。(投标时须提供承诺函，格式自拟，并加盖供应商公章)</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8、具体配送时间、地点、数量以及规格以采购人实际下单为准。中标人在每次配送时，应提供配送验收清单（包括但不限于配送时间、配送产品的具体规格型号、数量、单价、配送人员等）一式两份，双方各一份存档。</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9、为保证产品质量，供应商如不是投标产品制造商的，应在中标后签订合同时向采购人提供制造商针对本项目产品授权书原件并加盖制造商公章（鲜章）。(投标时须提供承诺函，格式自拟，并加盖供应商公章)</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10、采购人将不定期对投标人所配送产品进行抽样检查，如发现与所投产品不符产品投标响应要求，医院有权拒收，对有问题的批次进行退货处理，同时已经使用的有产品质量问题的产品不予付款，由此造成的损失由投标人负全责。情节严重可终止合同执行，并追究法律责任。</w:t>
      </w:r>
    </w:p>
    <w:p>
      <w:pPr>
        <w:spacing w:line="570" w:lineRule="atLeast"/>
        <w:rPr>
          <w:rFonts w:hint="default" w:ascii="Times New Roman" w:hAnsi="Times New Roman" w:cs="Times New Roman"/>
          <w:color w:val="auto"/>
          <w:highlight w:val="none"/>
          <w:lang w:val="en-US" w:eastAsia="zh-CN"/>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11、质保期内有任何非人为因素造成的损害，均包含在总价内由投标人负责更换并承担有关费用。投标人送货的产品如果临近保质期（剩余 1 个月）还未开封使用， 投标人可进行退货处理。(投标时须提供承诺函，格式自拟，并加盖供应商公章)</w:t>
      </w:r>
    </w:p>
    <w:p>
      <w:pPr>
        <w:spacing w:line="570" w:lineRule="atLeast"/>
        <w:rPr>
          <w:rFonts w:hint="default" w:ascii="Times New Roman" w:hAnsi="Times New Roman" w:cs="Times New Roman"/>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pStyle w:val="2"/>
        <w:spacing w:line="570" w:lineRule="atLeast"/>
        <w:rPr>
          <w:rFonts w:hint="default"/>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p>
    <w:p>
      <w:pPr>
        <w:pStyle w:val="2"/>
        <w:spacing w:line="570" w:lineRule="atLeast"/>
        <w:rPr>
          <w:rFonts w:hint="default"/>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p>
    <w:p>
      <w:pPr>
        <w:pStyle w:val="2"/>
        <w:spacing w:line="570" w:lineRule="atLeast"/>
        <w:rPr>
          <w:rFonts w:hint="default"/>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p>
    <w:p>
      <w:pPr>
        <w:pStyle w:val="2"/>
        <w:spacing w:line="570" w:lineRule="atLeast"/>
        <w:rPr>
          <w:rFonts w:hint="default"/>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p>
    <w:p>
      <w:pPr>
        <w:pStyle w:val="2"/>
        <w:spacing w:line="570" w:lineRule="atLeast"/>
        <w:rPr>
          <w:rFonts w:hint="default"/>
          <w:color w:val="auto"/>
          <w:highlight w:val="none"/>
          <w:lang w:val="en-US" w:eastAsia="zh-CN"/>
        </w:rPr>
      </w:pPr>
    </w:p>
    <w:p>
      <w:pPr>
        <w:pStyle w:val="2"/>
        <w:spacing w:line="570" w:lineRule="atLeast"/>
        <w:rPr>
          <w:rFonts w:hint="default"/>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p>
    <w:p>
      <w:pPr>
        <w:pStyle w:val="2"/>
        <w:spacing w:line="570" w:lineRule="atLeast"/>
        <w:rPr>
          <w:rFonts w:hint="default"/>
          <w:color w:val="auto"/>
          <w:highlight w:val="none"/>
          <w:lang w:val="en-US" w:eastAsia="zh-CN"/>
        </w:rPr>
      </w:pPr>
    </w:p>
    <w:p>
      <w:pPr>
        <w:pStyle w:val="2"/>
        <w:spacing w:line="570" w:lineRule="atLeast"/>
        <w:rPr>
          <w:rFonts w:hint="default"/>
          <w:color w:val="auto"/>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both"/>
        <w:textAlignment w:val="auto"/>
        <w:rPr>
          <w:rFonts w:hint="default" w:ascii="Times New Roman" w:hAnsi="Times New Roman" w:eastAsia="方正小标宋_GBK" w:cs="Times New Roman"/>
          <w:color w:val="auto"/>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auto"/>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auto"/>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auto"/>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auto"/>
          <w:kern w:val="0"/>
          <w:sz w:val="32"/>
          <w:szCs w:val="32"/>
          <w:highlight w:val="none"/>
          <w:lang w:val="en-US" w:eastAsia="zh-CN"/>
        </w:rPr>
      </w:pPr>
      <w:r>
        <w:rPr>
          <w:rFonts w:hint="default" w:ascii="Times New Roman" w:hAnsi="Times New Roman" w:eastAsia="方正小标宋_GBK" w:cs="Times New Roman"/>
          <w:color w:val="auto"/>
          <w:kern w:val="0"/>
          <w:sz w:val="32"/>
          <w:szCs w:val="32"/>
          <w:highlight w:val="none"/>
          <w:lang w:val="en-US" w:eastAsia="zh-CN"/>
        </w:rPr>
        <w:t>报价表</w:t>
      </w:r>
    </w:p>
    <w:tbl>
      <w:tblPr>
        <w:tblStyle w:val="5"/>
        <w:tblW w:w="8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9"/>
        <w:gridCol w:w="912"/>
        <w:gridCol w:w="3187"/>
        <w:gridCol w:w="2520"/>
        <w:gridCol w:w="1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品种</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22"/>
                <w:szCs w:val="22"/>
                <w:highlight w:val="none"/>
                <w:u w:val="none"/>
                <w:lang w:val="en-US"/>
              </w:rPr>
            </w:pPr>
            <w:r>
              <w:rPr>
                <w:rFonts w:hint="eastAsia" w:ascii="宋体" w:hAnsi="宋体" w:eastAsia="宋体" w:cs="宋体"/>
                <w:b/>
                <w:i w:val="0"/>
                <w:color w:val="auto"/>
                <w:kern w:val="0"/>
                <w:sz w:val="22"/>
                <w:szCs w:val="22"/>
                <w:highlight w:val="none"/>
                <w:u w:val="none"/>
                <w:lang w:val="en-US" w:eastAsia="zh-CN" w:bidi="ar"/>
              </w:rPr>
              <w:t>规格型号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bookmarkStart w:id="5" w:name="OLE_LINK5"/>
            <w:r>
              <w:rPr>
                <w:rFonts w:hint="eastAsia" w:ascii="宋体" w:hAnsi="宋体" w:eastAsia="宋体" w:cs="宋体"/>
                <w:b/>
                <w:i w:val="0"/>
                <w:color w:val="auto"/>
                <w:kern w:val="0"/>
                <w:sz w:val="22"/>
                <w:szCs w:val="22"/>
                <w:highlight w:val="none"/>
                <w:u w:val="none"/>
                <w:lang w:val="en-US" w:eastAsia="zh-CN" w:bidi="ar"/>
              </w:rPr>
              <w:t>厂家品牌</w:t>
            </w:r>
            <w:bookmarkEnd w:id="5"/>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单价（元/g或元/ml/个/粒）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普通配方奶</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0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液态普通配方</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8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早产儿配方（配方1）</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2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早产儿配方（配方2）</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4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乳蛋白部分水解</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4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乳蛋白部分水解（低乳糖）</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无乳糖配方</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4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乳蛋白深度水解（无乳糖）</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55"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乳蛋白深度水解（有乳糖）</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5"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深度水解高能量（&gt;1岁）</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8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氨基酸配方（0-1岁）</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6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母乳营养补充剂</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60" w:hRule="atLeast"/>
        </w:trPr>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2608"/>
              </w:tabs>
              <w:jc w:val="left"/>
              <w:textAlignment w:val="cente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eastAsia="zh-CN"/>
              </w:rPr>
              <w:tab/>
            </w:r>
            <w:bookmarkStart w:id="6" w:name="OLE_LINK4"/>
            <w:r>
              <w:rPr>
                <w:rFonts w:hint="eastAsia" w:ascii="宋体" w:hAnsi="宋体" w:eastAsia="宋体" w:cs="宋体"/>
                <w:i w:val="0"/>
                <w:color w:val="auto"/>
                <w:sz w:val="22"/>
                <w:szCs w:val="22"/>
                <w:highlight w:val="none"/>
                <w:u w:val="none"/>
                <w:lang w:val="en-US" w:eastAsia="zh-CN"/>
              </w:rPr>
              <w:t>单价合计：     （元）</w:t>
            </w:r>
            <w:bookmarkEnd w:id="6"/>
          </w:p>
        </w:tc>
      </w:tr>
    </w:tbl>
    <w:p>
      <w:pPr>
        <w:pStyle w:val="2"/>
        <w:spacing w:line="570" w:lineRule="atLeast"/>
        <w:rPr>
          <w:rFonts w:hint="eastAsia" w:eastAsia="方正仿宋_GBK" w:cs="Times New Roman"/>
          <w:color w:val="auto"/>
          <w:kern w:val="2"/>
          <w:sz w:val="28"/>
          <w:szCs w:val="28"/>
          <w:highlight w:val="none"/>
          <w:lang w:val="en-US" w:eastAsia="zh-CN" w:bidi="ar-SA"/>
          <w14:ligatures w14:val="standardContextual"/>
        </w:rPr>
      </w:pPr>
    </w:p>
    <w:p>
      <w:pPr>
        <w:pStyle w:val="2"/>
        <w:spacing w:line="570" w:lineRule="atLeast"/>
        <w:rPr>
          <w:rFonts w:hint="default" w:eastAsia="方正仿宋_GBK" w:cs="Times New Roman"/>
          <w:color w:val="auto"/>
          <w:kern w:val="2"/>
          <w:sz w:val="28"/>
          <w:szCs w:val="28"/>
          <w:highlight w:val="none"/>
          <w:lang w:val="en-US" w:eastAsia="zh-CN" w:bidi="ar-SA"/>
          <w14:ligatures w14:val="standardContextual"/>
        </w:rPr>
      </w:pPr>
      <w:r>
        <w:rPr>
          <w:rFonts w:hint="eastAsia" w:eastAsia="方正仿宋_GBK" w:cs="Times New Roman"/>
          <w:color w:val="auto"/>
          <w:kern w:val="2"/>
          <w:sz w:val="28"/>
          <w:szCs w:val="28"/>
          <w:highlight w:val="none"/>
          <w:lang w:val="en-US" w:eastAsia="zh-CN" w:bidi="ar-SA"/>
          <w14:ligatures w14:val="standardContextual"/>
        </w:rPr>
        <w:t>采购包2</w:t>
      </w:r>
    </w:p>
    <w:tbl>
      <w:tblPr>
        <w:tblStyle w:val="5"/>
        <w:tblW w:w="8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0"/>
        <w:gridCol w:w="918"/>
        <w:gridCol w:w="3205"/>
        <w:gridCol w:w="2520"/>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2"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品种</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规格型号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厂家品牌</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单价（元/g或元/ml/个/粒）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3"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普通配方奶</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11"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液态普通配方</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11" w:hRule="atLeast"/>
        </w:trPr>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lang w:val="en-US" w:eastAsia="zh-CN"/>
              </w:rPr>
              <w:t>单价合计：     （元）</w:t>
            </w:r>
          </w:p>
        </w:tc>
      </w:tr>
    </w:tbl>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auto"/>
          <w:kern w:val="0"/>
          <w:sz w:val="32"/>
          <w:szCs w:val="32"/>
          <w:highlight w:val="none"/>
          <w:lang w:val="en-US" w:eastAsia="zh-CN"/>
        </w:rPr>
      </w:pP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日期：</w:t>
      </w:r>
    </w:p>
    <w:p>
      <w:pPr>
        <w:spacing w:line="570" w:lineRule="atLeast"/>
        <w:jc w:val="center"/>
        <w:rPr>
          <w:rFonts w:hint="default" w:ascii="Times New Roman" w:hAnsi="Times New Roman" w:eastAsia="方正小标宋_GBK" w:cs="Times New Roman"/>
          <w:b/>
          <w:bCs/>
          <w:color w:val="auto"/>
          <w:sz w:val="28"/>
          <w:szCs w:val="28"/>
          <w:highlight w:val="none"/>
        </w:rPr>
      </w:pPr>
    </w:p>
    <w:p>
      <w:pPr>
        <w:pStyle w:val="2"/>
        <w:spacing w:line="570" w:lineRule="atLeast"/>
        <w:rPr>
          <w:rFonts w:hint="default" w:ascii="Times New Roman" w:hAnsi="Times New Roman" w:eastAsia="方正小标宋_GBK" w:cs="Times New Roman"/>
          <w:b/>
          <w:bCs/>
          <w:color w:val="auto"/>
          <w:sz w:val="28"/>
          <w:szCs w:val="28"/>
          <w:highlight w:val="none"/>
        </w:rPr>
      </w:pPr>
    </w:p>
    <w:p>
      <w:pPr>
        <w:pStyle w:val="2"/>
        <w:spacing w:line="570" w:lineRule="atLeast"/>
        <w:rPr>
          <w:rFonts w:hint="default" w:ascii="Times New Roman" w:hAnsi="Times New Roman" w:eastAsia="方正小标宋_GBK" w:cs="Times New Roman"/>
          <w:b/>
          <w:bCs/>
          <w:color w:val="auto"/>
          <w:sz w:val="28"/>
          <w:szCs w:val="28"/>
          <w:highlight w:val="none"/>
        </w:rPr>
      </w:pPr>
    </w:p>
    <w:p>
      <w:pPr>
        <w:pStyle w:val="2"/>
        <w:spacing w:line="570" w:lineRule="atLeast"/>
        <w:rPr>
          <w:rFonts w:hint="default" w:ascii="Times New Roman" w:hAnsi="Times New Roman" w:eastAsia="方正小标宋_GBK" w:cs="Times New Roman"/>
          <w:b/>
          <w:bCs/>
          <w:color w:val="auto"/>
          <w:sz w:val="28"/>
          <w:szCs w:val="28"/>
          <w:highlight w:val="none"/>
        </w:rPr>
      </w:pPr>
    </w:p>
    <w:p>
      <w:pPr>
        <w:pStyle w:val="2"/>
        <w:spacing w:line="570" w:lineRule="atLeast"/>
        <w:rPr>
          <w:rFonts w:hint="default" w:ascii="Times New Roman" w:hAnsi="Times New Roman" w:eastAsia="方正小标宋_GBK" w:cs="Times New Roman"/>
          <w:b/>
          <w:bCs/>
          <w:color w:val="auto"/>
          <w:sz w:val="28"/>
          <w:szCs w:val="28"/>
          <w:highlight w:val="none"/>
        </w:rPr>
      </w:pPr>
    </w:p>
    <w:p>
      <w:pPr>
        <w:pStyle w:val="2"/>
        <w:spacing w:line="570" w:lineRule="atLeast"/>
        <w:rPr>
          <w:rFonts w:hint="default" w:ascii="Times New Roman" w:hAnsi="Times New Roman" w:eastAsia="方正小标宋_GBK" w:cs="Times New Roman"/>
          <w:b/>
          <w:bCs/>
          <w:color w:val="auto"/>
          <w:sz w:val="28"/>
          <w:szCs w:val="28"/>
          <w:highlight w:val="none"/>
        </w:rPr>
      </w:pPr>
    </w:p>
    <w:p>
      <w:pPr>
        <w:spacing w:line="570" w:lineRule="atLeast"/>
        <w:rPr>
          <w:rFonts w:hint="default" w:ascii="Times New Roman" w:hAnsi="Times New Roman" w:cs="Times New Roman"/>
          <w:color w:val="auto"/>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4"/>
          <w:szCs w:val="24"/>
          <w:highlight w:val="none"/>
          <w:vertAlign w:val="baseline"/>
        </w:rPr>
      </w:pPr>
      <w:r>
        <w:rPr>
          <w:rFonts w:hint="default" w:ascii="Times New Roman" w:hAnsi="Times New Roman" w:eastAsia="方正仿宋_GBK" w:cs="Times New Roman"/>
          <w:color w:val="auto"/>
          <w:sz w:val="24"/>
          <w:szCs w:val="24"/>
          <w:highlight w:val="none"/>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r>
              <w:rPr>
                <w:rFonts w:hint="default" w:ascii="Times New Roman" w:hAnsi="Times New Roman" w:eastAsia="方正仿宋_GBK" w:cs="Times New Roman"/>
                <w:color w:val="auto"/>
                <w:sz w:val="24"/>
                <w:szCs w:val="24"/>
                <w:highlight w:val="none"/>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r>
              <w:rPr>
                <w:rFonts w:hint="default" w:ascii="Times New Roman" w:hAnsi="Times New Roman" w:eastAsia="方正仿宋_GBK" w:cs="Times New Roman"/>
                <w:color w:val="auto"/>
                <w:sz w:val="24"/>
                <w:szCs w:val="24"/>
                <w:highlight w:val="none"/>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r>
              <w:rPr>
                <w:rFonts w:hint="default" w:ascii="Times New Roman" w:hAnsi="Times New Roman" w:eastAsia="方正仿宋_GBK" w:cs="Times New Roman"/>
                <w:color w:val="auto"/>
                <w:sz w:val="24"/>
                <w:szCs w:val="24"/>
                <w:highlight w:val="none"/>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r>
              <w:rPr>
                <w:rFonts w:hint="default" w:ascii="Times New Roman" w:hAnsi="Times New Roman" w:eastAsia="方正仿宋_GBK" w:cs="Times New Roman"/>
                <w:color w:val="auto"/>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投标人</w:t>
      </w:r>
      <w:r>
        <w:rPr>
          <w:rFonts w:hint="default" w:ascii="Times New Roman" w:hAnsi="Times New Roman" w:eastAsia="方正仿宋_GBK" w:cs="Times New Roman"/>
          <w:color w:val="auto"/>
          <w:sz w:val="24"/>
          <w:szCs w:val="24"/>
          <w:highlight w:val="none"/>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color w:val="auto"/>
          <w:highlight w:val="none"/>
        </w:rPr>
      </w:pPr>
    </w:p>
    <w:p>
      <w:pPr>
        <w:pStyle w:val="2"/>
        <w:spacing w:line="570" w:lineRule="atLeast"/>
        <w:rPr>
          <w:rFonts w:hint="default"/>
          <w:color w:val="auto"/>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（制造商家名称）是在</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（国名）依法登记注册的，其地址现在</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。其主要营业地点现在</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w:t>
      </w:r>
    </w:p>
    <w:p>
      <w:pPr>
        <w:pStyle w:val="4"/>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供应商单位法定代表人或授权代表（签字）：        </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2"/>
          <w:szCs w:val="22"/>
          <w:highlight w:val="none"/>
        </w:rPr>
      </w:pPr>
      <w:bookmarkStart w:id="7" w:name="_Toc95295163"/>
      <w:bookmarkStart w:id="8" w:name="_Toc174767233"/>
      <w:bookmarkStart w:id="9" w:name="_Toc237343703"/>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color w:val="auto"/>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u w:val="single"/>
          <w:lang w:val="zh-CN"/>
        </w:rPr>
        <w:t xml:space="preserve">          </w:t>
      </w:r>
      <w:r>
        <w:rPr>
          <w:rFonts w:hint="default" w:ascii="Times New Roman" w:hAnsi="Times New Roman" w:eastAsia="方正仿宋_GBK" w:cs="Times New Roman"/>
          <w:color w:val="auto"/>
          <w:sz w:val="24"/>
          <w:szCs w:val="24"/>
          <w:highlight w:val="none"/>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zh-CN"/>
        </w:rPr>
        <w:t xml:space="preserve">   本授权声明：</w:t>
      </w:r>
      <w:r>
        <w:rPr>
          <w:rFonts w:hint="default" w:ascii="Times New Roman" w:hAnsi="Times New Roman" w:eastAsia="方正仿宋_GBK" w:cs="Times New Roman"/>
          <w:color w:val="auto"/>
          <w:sz w:val="24"/>
          <w:szCs w:val="24"/>
          <w:highlight w:val="none"/>
          <w:u w:val="single"/>
          <w:lang w:val="zh-CN"/>
        </w:rPr>
        <w:t xml:space="preserve">             </w:t>
      </w:r>
      <w:r>
        <w:rPr>
          <w:rFonts w:hint="default" w:ascii="Times New Roman" w:hAnsi="Times New Roman" w:eastAsia="方正仿宋_GBK" w:cs="Times New Roman"/>
          <w:color w:val="auto"/>
          <w:sz w:val="24"/>
          <w:szCs w:val="24"/>
          <w:highlight w:val="none"/>
          <w:lang w:val="zh-CN"/>
        </w:rPr>
        <w:t>（投标人名称）</w:t>
      </w:r>
      <w:r>
        <w:rPr>
          <w:rFonts w:hint="default" w:ascii="Times New Roman" w:hAnsi="Times New Roman" w:eastAsia="方正仿宋_GBK" w:cs="Times New Roman"/>
          <w:color w:val="auto"/>
          <w:sz w:val="24"/>
          <w:szCs w:val="24"/>
          <w:highlight w:val="none"/>
          <w:u w:val="single"/>
          <w:lang w:val="zh-CN"/>
        </w:rPr>
        <w:t xml:space="preserve">           </w:t>
      </w:r>
      <w:r>
        <w:rPr>
          <w:rFonts w:hint="default" w:ascii="Times New Roman" w:hAnsi="Times New Roman" w:eastAsia="方正仿宋_GBK" w:cs="Times New Roman"/>
          <w:color w:val="auto"/>
          <w:sz w:val="24"/>
          <w:szCs w:val="24"/>
          <w:highlight w:val="none"/>
          <w:lang w:val="zh-CN"/>
        </w:rPr>
        <w:t>（法定代表人姓名、职务）授权</w:t>
      </w:r>
      <w:r>
        <w:rPr>
          <w:rFonts w:hint="default" w:ascii="Times New Roman" w:hAnsi="Times New Roman" w:eastAsia="方正仿宋_GBK" w:cs="Times New Roman"/>
          <w:color w:val="auto"/>
          <w:sz w:val="24"/>
          <w:szCs w:val="24"/>
          <w:highlight w:val="none"/>
          <w:u w:val="single"/>
          <w:lang w:val="zh-CN"/>
        </w:rPr>
        <w:t xml:space="preserve">                          </w:t>
      </w:r>
      <w:r>
        <w:rPr>
          <w:rFonts w:hint="default" w:ascii="Times New Roman" w:hAnsi="Times New Roman" w:eastAsia="方正仿宋_GBK" w:cs="Times New Roman"/>
          <w:color w:val="auto"/>
          <w:sz w:val="24"/>
          <w:szCs w:val="24"/>
          <w:highlight w:val="none"/>
          <w:lang w:val="zh-CN"/>
        </w:rPr>
        <w:t>（被授权人姓名、职务）为我方</w:t>
      </w:r>
      <w:r>
        <w:rPr>
          <w:rFonts w:hint="default" w:ascii="Times New Roman" w:hAnsi="Times New Roman" w:eastAsia="方正仿宋_GBK" w:cs="Times New Roman"/>
          <w:color w:val="auto"/>
          <w:sz w:val="24"/>
          <w:szCs w:val="24"/>
          <w:highlight w:val="none"/>
          <w:u w:val="single"/>
          <w:lang w:val="zh-CN"/>
        </w:rPr>
        <w:t xml:space="preserve"> “                                          ”</w:t>
      </w:r>
      <w:r>
        <w:rPr>
          <w:rFonts w:hint="default" w:ascii="Times New Roman" w:hAnsi="Times New Roman" w:eastAsia="方正仿宋_GBK" w:cs="Times New Roman"/>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投标人名称：</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★说明：上述证明文件附有法定代表人、被授权代表身份证复印件（加盖公章）时才能生效。</w:t>
      </w:r>
      <w:bookmarkEnd w:id="7"/>
      <w:bookmarkEnd w:id="8"/>
      <w:bookmarkEnd w:id="9"/>
    </w:p>
    <w:p>
      <w:pPr>
        <w:spacing w:line="570" w:lineRule="atLeast"/>
        <w:rPr>
          <w:rFonts w:hint="default" w:ascii="Times New Roman" w:hAnsi="Times New Roman" w:eastAsia="方正仿宋_GBK" w:cs="Times New Roman"/>
          <w:color w:val="auto"/>
          <w:highlight w:val="none"/>
        </w:rPr>
      </w:pPr>
    </w:p>
    <w:p>
      <w:pPr>
        <w:pStyle w:val="2"/>
        <w:spacing w:line="570" w:lineRule="atLeast"/>
        <w:rPr>
          <w:rFonts w:hint="default" w:ascii="Times New Roman" w:hAnsi="Times New Roman" w:eastAsia="方正仿宋_GBK" w:cs="Times New Roman"/>
          <w:color w:val="auto"/>
          <w:sz w:val="32"/>
          <w:szCs w:val="32"/>
          <w:highlight w:val="none"/>
          <w:lang w:val="en-US" w:eastAsia="zh-CN"/>
        </w:rPr>
      </w:pPr>
    </w:p>
    <w:p>
      <w:pPr>
        <w:widowControl w:val="0"/>
        <w:spacing w:after="120" w:line="570" w:lineRule="atLeast"/>
        <w:jc w:val="both"/>
        <w:rPr>
          <w:rFonts w:hint="default" w:ascii="Times New Roman" w:hAnsi="Times New Roman" w:eastAsia="方正小标宋_GBK" w:cs="Times New Roman"/>
          <w:color w:val="auto"/>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auto"/>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auto"/>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auto"/>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auto"/>
          <w:kern w:val="2"/>
          <w:sz w:val="28"/>
          <w:szCs w:val="22"/>
          <w:highlight w:val="none"/>
          <w:lang w:val="en-US" w:eastAsia="zh-CN" w:bidi="ar-SA"/>
        </w:rPr>
      </w:pPr>
      <w:r>
        <w:rPr>
          <w:rFonts w:hint="default" w:ascii="Times New Roman" w:hAnsi="Times New Roman" w:eastAsia="方正小标宋_GBK" w:cs="Times New Roman"/>
          <w:color w:val="auto"/>
          <w:kern w:val="2"/>
          <w:sz w:val="28"/>
          <w:szCs w:val="22"/>
          <w:highlight w:val="none"/>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投标人：（公章）  </w:t>
      </w:r>
    </w:p>
    <w:p>
      <w:pPr>
        <w:widowControl/>
        <w:shd w:val="clear" w:color="auto" w:fill="FFFFFF"/>
        <w:wordWrap w:val="0"/>
        <w:spacing w:line="570" w:lineRule="atLeast"/>
        <w:ind w:firstLine="480" w:firstLineChars="200"/>
        <w:jc w:val="left"/>
      </w:pPr>
      <w:r>
        <w:rPr>
          <w:rFonts w:hint="default" w:ascii="Times New Roman" w:hAnsi="Times New Roman" w:eastAsia="方正仿宋_GBK" w:cs="Times New Roman"/>
          <w:color w:val="auto"/>
          <w:kern w:val="0"/>
          <w:sz w:val="24"/>
          <w:szCs w:val="24"/>
          <w:highlight w:val="none"/>
        </w:rPr>
        <w:t>日期：   年    月    日</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601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4">
    <w:name w:val="Body Text Indent"/>
    <w:basedOn w:val="1"/>
    <w:qFormat/>
    <w:uiPriority w:val="99"/>
    <w:pPr>
      <w:spacing w:after="120"/>
      <w:ind w:left="420" w:leftChars="200"/>
    </w:p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2025-05-29T03:33:06Z</dcterms:created>
  <dc:creator>OS</dc:creator>
  <cp:lastModifiedBy>們泊冬吴@^_^</cp:lastModifiedBy>
  <dcterms:modified xsi:type="dcterms:W3CDTF">2025-05-29T03:38:17Z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