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附件：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一</w:t>
      </w:r>
      <w:r>
        <w:rPr>
          <w:rFonts w:eastAsia="方正黑体_GBK"/>
          <w:sz w:val="28"/>
          <w:szCs w:val="28"/>
          <w:highlight w:val="none"/>
          <w14:ligatures w14:val="standardContextual"/>
        </w:rPr>
        <w:t>.项目名称：</w:t>
      </w:r>
      <w:bookmarkStart w:id="0" w:name="OLE_LINK2"/>
      <w:r>
        <w:rPr>
          <w:rFonts w:eastAsia="方正仿宋_GBK"/>
          <w:sz w:val="28"/>
          <w:szCs w:val="28"/>
          <w:highlight w:val="none"/>
          <w14:ligatures w14:val="standardContextual"/>
        </w:rPr>
        <w:t>更换一号楼应急柜零配件项目</w:t>
      </w:r>
      <w:bookmarkEnd w:id="0"/>
      <w:r>
        <w:rPr>
          <w:rFonts w:eastAsia="方正仿宋_GBK"/>
          <w:sz w:val="28"/>
          <w:szCs w:val="28"/>
          <w:highlight w:val="none"/>
          <w14:ligatures w14:val="standardContextual"/>
        </w:rPr>
        <w:t>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二.</w:t>
      </w:r>
      <w:r>
        <w:rPr>
          <w:rFonts w:eastAsia="方正黑体_GBK"/>
          <w:sz w:val="28"/>
          <w:szCs w:val="28"/>
          <w:highlight w:val="none"/>
          <w14:ligatures w14:val="standardContextual"/>
        </w:rPr>
        <w:t>最高限价：</w:t>
      </w:r>
      <w:r>
        <w:rPr>
          <w:rFonts w:hint="eastAsia" w:eastAsia="方正仿宋_GBK"/>
          <w:sz w:val="28"/>
          <w:szCs w:val="28"/>
          <w:highlight w:val="none"/>
          <w14:ligatures w14:val="standardContextual"/>
        </w:rPr>
        <w:t>3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万元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三.项目介绍：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成都市金牛区妇幼保健院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更换一号楼应急柜零配件的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项目。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四.服务要求：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1.要求：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① 履行期限，自合同签订起15个工作日内。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② 履行地点：成都市金牛区妇幼保健院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③ 包装和运输：由供方送至一号楼。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④ 安装时间在合同签订起15个工作日内在成都市妇幼保健院完成。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⑤ 付款条件：合同签订起安装验收后供应商出具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的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相等的增值税发票资料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后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30个工作日支付完成。资金支付方式：公款公户。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⑥ 验收交付标准和方法：购方委托配电室维保及消防维保单位进行验收是否正常使用。</w:t>
      </w:r>
    </w:p>
    <w:p>
      <w:pPr>
        <w:ind w:left="458" w:leftChars="85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⑦ 售后服务：若产生质量售后问题，由卖方解决，例如</w:t>
      </w:r>
      <w:bookmarkStart w:id="1" w:name="_Hlk197446313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更换的零配件不匹配、不兼容</w:t>
      </w:r>
      <w:bookmarkEnd w:id="1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等。非质量问题买方联系卖方协商解决。</w:t>
      </w:r>
    </w:p>
    <w:p>
      <w:pPr>
        <w:ind w:left="458" w:leftChars="85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⑧ 质量保修范围和保修期：由本次更换的零配件导致应急电源柜不能正常运行的问题等。保修期：12个月。</w:t>
      </w:r>
    </w:p>
    <w:p>
      <w:pPr>
        <w:ind w:left="458" w:leftChars="85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⑨ 责任与解决方法：产品保修期内若产生质量问题，卖方无条件保修包换。产品过保修期后产生质量问题，由买方和卖方协商解决。</w:t>
      </w:r>
    </w:p>
    <w:p>
      <w:pPr>
        <w:ind w:left="461" w:leftChars="86" w:hanging="280" w:hangingChars="1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2.配件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需求数量</w:t>
      </w:r>
    </w:p>
    <w:tbl>
      <w:tblPr>
        <w:tblStyle w:val="4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07"/>
        <w:gridCol w:w="1458"/>
        <w:gridCol w:w="1418"/>
        <w:gridCol w:w="1134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位置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型号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984" w:type="dxa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ALE701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主板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  <w:bookmarkEnd w:id="2"/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所有配件均要符</w:t>
            </w:r>
            <w:r>
              <w:rPr>
                <w:rFonts w:ascii="宋体" w:hAnsi="宋体"/>
                <w:sz w:val="24"/>
                <w:highlight w:val="none"/>
              </w:rPr>
              <w:t>《</w:t>
            </w:r>
            <w:r>
              <w:rPr>
                <w:rFonts w:hint="eastAsia" w:ascii="宋体" w:hAnsi="宋体"/>
                <w:sz w:val="24"/>
                <w:highlight w:val="none"/>
              </w:rPr>
              <w:t>GB17945-2010消防应急灯具</w:t>
            </w:r>
            <w:r>
              <w:rPr>
                <w:rFonts w:ascii="宋体" w:hAnsi="宋体"/>
                <w:sz w:val="24"/>
                <w:highlight w:val="none"/>
              </w:rPr>
              <w:t>》</w:t>
            </w:r>
            <w:r>
              <w:rPr>
                <w:rFonts w:hint="eastAsia" w:ascii="宋体" w:hAnsi="宋体"/>
                <w:sz w:val="24"/>
                <w:highlight w:val="none"/>
              </w:rPr>
              <w:t>国家标准、电力部</w:t>
            </w:r>
            <w:r>
              <w:rPr>
                <w:rFonts w:ascii="宋体" w:hAnsi="宋体"/>
                <w:sz w:val="24"/>
                <w:highlight w:val="none"/>
              </w:rPr>
              <w:t>&lt;&lt;</w:t>
            </w:r>
            <w:r>
              <w:rPr>
                <w:rFonts w:hint="eastAsia" w:ascii="宋体" w:hAnsi="宋体"/>
                <w:sz w:val="24"/>
                <w:highlight w:val="none"/>
              </w:rPr>
              <w:t>阀控式密封铅酸蓄电池订货技术条件</w:t>
            </w:r>
            <w:r>
              <w:rPr>
                <w:rFonts w:ascii="宋体" w:hAnsi="宋体"/>
                <w:sz w:val="24"/>
                <w:highlight w:val="none"/>
              </w:rPr>
              <w:t>&gt;&gt; (DL/T637</w:t>
            </w:r>
            <w:r>
              <w:rPr>
                <w:rFonts w:hint="eastAsia" w:ascii="宋体" w:hAnsi="宋体"/>
                <w:sz w:val="24"/>
                <w:highlight w:val="none"/>
              </w:rPr>
              <w:t>－</w:t>
            </w:r>
            <w:r>
              <w:rPr>
                <w:rFonts w:ascii="宋体" w:hAnsi="宋体"/>
                <w:sz w:val="24"/>
                <w:highlight w:val="none"/>
              </w:rPr>
              <w:t>1997)</w:t>
            </w:r>
            <w:r>
              <w:rPr>
                <w:rFonts w:hint="eastAsia" w:ascii="宋体" w:hAnsi="宋体"/>
                <w:sz w:val="24"/>
                <w:highlight w:val="none"/>
              </w:rPr>
              <w:t>等行业相关标准。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充电板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38AH/12v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ALE701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38AH/12v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ALE301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主板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充电板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38AH/12v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ALE101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120AH/12v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显控板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ALED101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120AH/12v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pStyle w:val="2"/>
        <w:rPr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</w:p>
    <w:p>
      <w:pPr>
        <w:pStyle w:val="2"/>
        <w:rPr>
          <w:rFonts w:ascii="Times New Roman" w:hAnsi="Times New Roman" w:cs="Times New Roman"/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报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价（元）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eastAsia="方正仿宋_GBK"/>
                <w:sz w:val="28"/>
                <w:szCs w:val="28"/>
                <w:highlight w:val="none"/>
                <w14:ligatures w14:val="standardContextual"/>
              </w:rPr>
              <w:t>更换一号楼应急柜零配件项目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1.报价应是最终用户验收合格后的总价，包括运输、保险、代理、安装调试、培训、税费和采购文件规定的其它费用。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rPr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  <w:highlight w:val="none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  <w:bookmarkStart w:id="3" w:name="_Toc95295163"/>
      <w:bookmarkStart w:id="4" w:name="_Toc237343703"/>
      <w:bookmarkStart w:id="5" w:name="_Toc17476723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3"/>
      <w:bookmarkEnd w:id="4"/>
      <w:bookmarkEnd w:id="5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eastAsia="方正仿宋_GBK"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2025-05-09T07:03:29Z</dcterms:created>
  <dc:creator>OS</dc:creator>
  <cp:lastModifiedBy>們泊冬吴@^_^</cp:lastModifiedBy>
  <dcterms:modified xsi:type="dcterms:W3CDTF">2025-05-09T07:05:56Z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