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附件：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一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.项目名称：</w:t>
      </w:r>
      <w:bookmarkStart w:id="0" w:name="OLE_LINK1"/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更换一号楼手扶电梯零配件项目</w:t>
      </w:r>
      <w:bookmarkEnd w:id="0"/>
      <w:r>
        <w:rPr>
          <w:rFonts w:eastAsia="方正仿宋_GBK"/>
          <w:sz w:val="28"/>
          <w:szCs w:val="28"/>
          <w:highlight w:val="none"/>
          <w14:ligatures w14:val="standardContextual"/>
        </w:rPr>
        <w:t>。</w:t>
      </w:r>
    </w:p>
    <w:p>
      <w:pPr>
        <w:pStyle w:val="2"/>
        <w:spacing w:line="570" w:lineRule="atLeast"/>
        <w:rPr>
          <w:rFonts w:eastAsia="方正仿宋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二.</w:t>
      </w:r>
      <w:r>
        <w:rPr>
          <w:rFonts w:eastAsia="方正黑体_GBK"/>
          <w:sz w:val="28"/>
          <w:szCs w:val="28"/>
          <w:highlight w:val="none"/>
          <w14:ligatures w14:val="standardContextual"/>
        </w:rPr>
        <w:t>最高限价：</w:t>
      </w:r>
      <w:r>
        <w:rPr>
          <w:rFonts w:hint="eastAsia" w:eastAsia="方正仿宋_GBK"/>
          <w:sz w:val="28"/>
          <w:szCs w:val="28"/>
          <w:highlight w:val="none"/>
          <w14:ligatures w14:val="standardContextual"/>
        </w:rPr>
        <w:t>8.</w:t>
      </w:r>
      <w:r>
        <w:rPr>
          <w:rFonts w:hint="eastAsia" w:eastAsia="方正仿宋_GBK"/>
          <w:sz w:val="28"/>
          <w:szCs w:val="28"/>
          <w:highlight w:val="none"/>
          <w:lang w:val="en-US" w:eastAsia="zh-CN"/>
          <w14:ligatures w14:val="standardContextual"/>
        </w:rPr>
        <w:t>8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万元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三.项目介绍：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成都市金牛区妇幼保健院</w:t>
      </w:r>
      <w:r>
        <w:rPr>
          <w:rFonts w:eastAsia="方正仿宋_GBK"/>
          <w:sz w:val="28"/>
          <w:szCs w:val="28"/>
          <w:highlight w:val="none"/>
          <w14:ligatures w14:val="standardContextual"/>
        </w:rPr>
        <w:t>更换一号楼手扶电梯零配件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项目。</w:t>
      </w:r>
    </w:p>
    <w:p>
      <w:pPr>
        <w:pStyle w:val="2"/>
        <w:spacing w:line="570" w:lineRule="atLeast"/>
        <w:rPr>
          <w:rFonts w:eastAsia="方正黑体_GBK"/>
          <w:sz w:val="28"/>
          <w:szCs w:val="28"/>
          <w:highlight w:val="none"/>
          <w14:ligatures w14:val="standardContextual"/>
        </w:rPr>
      </w:pPr>
      <w:r>
        <w:rPr>
          <w:rFonts w:hint="eastAsia" w:eastAsia="方正黑体_GBK"/>
          <w:sz w:val="28"/>
          <w:szCs w:val="28"/>
          <w:highlight w:val="none"/>
          <w14:ligatures w14:val="standardContextual"/>
        </w:rPr>
        <w:t>四.服务要求：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1.要求：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① 履行期限，自合同签订起15个工作日内。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③ 包装和运输：由供方送至一号楼。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④ 安装时间在合同签订起15个工作日内在成都市妇幼保健院完成。</w:t>
      </w:r>
    </w:p>
    <w:p>
      <w:pPr>
        <w:ind w:left="0" w:leftChars="0"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pPrChange w:id="0" w:author="們泊冬吴@^_^" w:date="2025-05-09T14:59:12Z">
          <w:pPr>
            <w:ind w:left="458" w:leftChars="85" w:hanging="280" w:hangingChars="100"/>
          </w:pPr>
        </w:pPrChange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⑤ 付款条件：合同签订起安装验收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:rPrChange w:id="1" w:author="們泊冬吴@^_^" w:date="2025-05-09T14:59:12Z">
            <w:rPr>
              <w:rFonts w:hint="eastAsia" w:ascii="Times New Roman" w:hAnsi="Times New Roman" w:eastAsia="方正仿宋_GBK" w:cs="Times New Roman"/>
              <w:sz w:val="28"/>
              <w:szCs w:val="28"/>
              <w:highlight w:val="none"/>
              <w:lang w:val="en-US" w:eastAsia="zh-CN"/>
              <w14:ligatures w14:val="standardContextual"/>
            </w:rPr>
          </w:rPrChange>
          <w14:ligatures w14:val="standardContextual"/>
        </w:rPr>
        <w:t>合格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供应商出具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:rPrChange w:id="2" w:author="們泊冬吴@^_^" w:date="2025-05-09T14:59:12Z">
            <w:rPr>
              <w:rFonts w:hint="eastAsia" w:ascii="Times New Roman" w:hAnsi="Times New Roman" w:eastAsia="方正仿宋_GBK" w:cs="Times New Roman"/>
              <w:sz w:val="28"/>
              <w:szCs w:val="28"/>
              <w:highlight w:val="none"/>
              <w:lang w:val="en-US" w:eastAsia="zh-CN"/>
              <w14:ligatures w14:val="standardContextual"/>
            </w:rPr>
          </w:rPrChange>
          <w14:ligatures w14:val="standardContextual"/>
        </w:rPr>
        <w:t>的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相等的增值税发票资料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:rPrChange w:id="3" w:author="們泊冬吴@^_^" w:date="2025-05-09T14:59:12Z">
            <w:rPr>
              <w:rFonts w:hint="eastAsia" w:ascii="Times New Roman" w:hAnsi="Times New Roman" w:eastAsia="方正仿宋_GBK" w:cs="Times New Roman"/>
              <w:sz w:val="28"/>
              <w:szCs w:val="28"/>
              <w:highlight w:val="none"/>
              <w:lang w:val="en-US" w:eastAsia="zh-CN"/>
              <w14:ligatures w14:val="standardContextual"/>
            </w:rPr>
          </w:rPrChange>
          <w14:ligatures w14:val="standardContextual"/>
        </w:rPr>
        <w:t>后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30个工作日支付完成。资金支付方式：公款公户。</w:t>
      </w:r>
    </w:p>
    <w:p>
      <w:pPr>
        <w:ind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⑥ 验收交付标准和方法：购方委托电梯维保公司对手扶电梯进行验收是否正常使用。</w:t>
      </w:r>
    </w:p>
    <w:p>
      <w:pPr>
        <w:ind w:left="0" w:leftChars="0"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pPrChange w:id="4" w:author="們泊冬吴@^_^" w:date="2025-05-09T14:59:12Z">
          <w:pPr>
            <w:ind w:left="458" w:leftChars="85" w:hanging="280" w:hangingChars="100"/>
          </w:pPr>
        </w:pPrChange>
      </w:pPr>
      <w:bookmarkStart w:id="5" w:name="_GoBack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⑦ 售后服务：若产生质量售后问题，由卖方解决，例如</w:t>
      </w:r>
      <w:bookmarkStart w:id="1" w:name="_Hlk197446313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更换的零</w:t>
      </w:r>
      <w:bookmarkEnd w:id="5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配件不匹配、不兼容</w:t>
      </w:r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等。非质量问题买方联系卖方协商解决。</w:t>
      </w:r>
    </w:p>
    <w:p>
      <w:pPr>
        <w:ind w:left="0" w:leftChars="0"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pPrChange w:id="5" w:author="們泊冬吴@^_^" w:date="2025-05-09T14:59:12Z">
          <w:pPr>
            <w:ind w:left="458" w:leftChars="85" w:hanging="280" w:hangingChars="100"/>
          </w:pPr>
        </w:pPrChange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⑧ 质量保修范围和保修期：由本次更换的零配件导致手扶电梯不能正常运行的问题等。保修期：12个月。</w:t>
      </w:r>
    </w:p>
    <w:p>
      <w:pPr>
        <w:ind w:left="0" w:leftChars="0" w:firstLine="280" w:firstLine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pPrChange w:id="6" w:author="們泊冬吴@^_^" w:date="2025-05-09T14:59:12Z">
          <w:pPr>
            <w:ind w:left="458" w:leftChars="85" w:hanging="280" w:hangingChars="100"/>
          </w:pPr>
        </w:pPrChange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⑨ 责任与解决方法：产品保修期内若产生质量问题，卖方无条件保修包换。产品过保修期后产生质量问题，由买方和卖方协商解决。</w:t>
      </w:r>
    </w:p>
    <w:p>
      <w:pPr>
        <w:ind w:left="461" w:leftChars="86" w:hanging="280" w:hangingChars="100"/>
        <w:rPr>
          <w:rFonts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14:ligatures w14:val="standardContextual"/>
        </w:rPr>
        <w:t>2.配件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需求数量</w:t>
      </w:r>
    </w:p>
    <w:tbl>
      <w:tblPr>
        <w:tblStyle w:val="5"/>
        <w:tblW w:w="97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2268"/>
        <w:gridCol w:w="1276"/>
        <w:gridCol w:w="992"/>
        <w:gridCol w:w="992"/>
        <w:gridCol w:w="16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序号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配件名称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规格型号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数量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单位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台数</w:t>
            </w:r>
          </w:p>
        </w:tc>
        <w:tc>
          <w:tcPr>
            <w:tcW w:w="165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扶手带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C型W=75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53.06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米/台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65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3、4号扶梯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扶手带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C型W=75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54.4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米/台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</w:t>
            </w:r>
          </w:p>
        </w:tc>
        <w:tc>
          <w:tcPr>
            <w:tcW w:w="165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1、2号扶梯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3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梯级轮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D75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126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个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165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2号扶梯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17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</w:t>
            </w:r>
          </w:p>
        </w:tc>
        <w:tc>
          <w:tcPr>
            <w:tcW w:w="1701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不锈钢梯级套件</w:t>
            </w:r>
          </w:p>
        </w:tc>
        <w:tc>
          <w:tcPr>
            <w:tcW w:w="2268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4EK 喷黑色镶3 黄边</w:t>
            </w:r>
          </w:p>
        </w:tc>
        <w:tc>
          <w:tcPr>
            <w:tcW w:w="1276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个</w:t>
            </w:r>
          </w:p>
        </w:tc>
        <w:tc>
          <w:tcPr>
            <w:tcW w:w="992" w:type="dxa"/>
          </w:tcPr>
          <w:p>
            <w:pPr>
              <w:pStyle w:val="2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/</w:t>
            </w:r>
          </w:p>
        </w:tc>
        <w:tc>
          <w:tcPr>
            <w:tcW w:w="1658" w:type="dxa"/>
          </w:tcPr>
          <w:p>
            <w:pPr>
              <w:pStyle w:val="2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1号扶梯</w:t>
            </w:r>
          </w:p>
        </w:tc>
      </w:tr>
    </w:tbl>
    <w:p>
      <w:pPr>
        <w:pStyle w:val="2"/>
        <w:rPr>
          <w:rFonts w:hint="eastAsia"/>
          <w:highlight w:val="none"/>
        </w:rPr>
      </w:pP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pStyle w:val="2"/>
        <w:rPr>
          <w:highlight w:val="none"/>
        </w:rPr>
      </w:pPr>
    </w:p>
    <w:p>
      <w:pPr>
        <w:rPr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jc w:val="center"/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报</w:t>
            </w:r>
            <w:r>
              <w:rPr>
                <w:rFonts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eastAsia="方正仿宋_GBK"/>
                <w:sz w:val="28"/>
                <w:szCs w:val="28"/>
                <w:highlight w:val="none"/>
                <w14:ligatures w14:val="standardContextual"/>
              </w:rPr>
              <w:t>更换一号楼手扶电梯零配件项目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24"/>
                <w:highlight w:val="none"/>
              </w:rPr>
            </w:pPr>
          </w:p>
          <w:p>
            <w:pPr>
              <w:widowControl/>
              <w:wordWrap w:val="0"/>
              <w:spacing w:line="570" w:lineRule="atLeast"/>
              <w:jc w:val="center"/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1.报价应是最终用户验收合格后的总价，包括运输、保险、代理、安装调试、培训、税费和采购文件规定的其它费用。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2.“品目及报价表”为多页的，每页均需由法定代表人或授权代表签字并盖投标人印章。</w:t>
      </w:r>
    </w:p>
    <w:p>
      <w:pPr>
        <w:tabs>
          <w:tab w:val="left" w:pos="2142"/>
        </w:tabs>
        <w:spacing w:line="570" w:lineRule="atLeast"/>
        <w:ind w:firstLine="560" w:firstLineChars="200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3.如有多种规格，请按每种规格分别报价。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tabs>
          <w:tab w:val="left" w:pos="2142"/>
        </w:tabs>
        <w:spacing w:line="570" w:lineRule="atLeas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rPr>
          <w:rFonts w:ascii="Times New Roman" w:hAnsi="Times New Roman" w:cs="Times New Roman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jc w:val="center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41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3105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2131" w:type="dxa"/>
            <w:vAlign w:val="center"/>
          </w:tcPr>
          <w:p>
            <w:pPr>
              <w:tabs>
                <w:tab w:val="left" w:pos="6300"/>
              </w:tabs>
              <w:spacing w:line="570" w:lineRule="atLeast"/>
              <w:jc w:val="center"/>
              <w:rPr>
                <w:rFonts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</w:tbl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 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333333"/>
          <w:kern w:val="0"/>
          <w:sz w:val="24"/>
          <w:highlight w:val="none"/>
        </w:rPr>
        <w:t>投标人</w:t>
      </w:r>
      <w:r>
        <w:rPr>
          <w:rFonts w:ascii="Times New Roman" w:hAnsi="Times New Roman" w:eastAsia="方正仿宋_GBK" w:cs="Times New Roman"/>
          <w:sz w:val="24"/>
          <w:highlight w:val="none"/>
        </w:rPr>
        <w:t>名称（加盖公章）：XXX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法定代表人或单位负责人或授权代表（签字或盖章）：XXX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 期：XXX年XXX月XXX日</w:t>
      </w: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eastAsia="方正仿宋_GBK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rPr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spacing w:line="570" w:lineRule="atLeast"/>
        <w:ind w:firstLine="360" w:firstLineChars="150"/>
        <w:rPr>
          <w:rFonts w:ascii="Times New Roman" w:hAnsi="Times New Roman" w:eastAsia="方正仿宋_GBK" w:cs="Times New Roman"/>
          <w:sz w:val="24"/>
          <w:highlight w:val="none"/>
          <w:u w:val="singl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：</w:t>
      </w:r>
    </w:p>
    <w:p>
      <w:pPr>
        <w:spacing w:line="570" w:lineRule="atLeast"/>
        <w:ind w:firstLine="630"/>
        <w:jc w:val="lef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（制造商家名称）是在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.</w:t>
      </w:r>
      <w:r>
        <w:rPr>
          <w:rFonts w:ascii="Times New Roman" w:hAnsi="Times New Roman" w:eastAsia="方正仿宋_GBK" w:cs="Times New Roman"/>
          <w:sz w:val="24"/>
          <w:highlight w:val="none"/>
        </w:rPr>
        <w:t>（国名）依法登记注册的，其地址现在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。其主要营业地点现在</w:t>
      </w:r>
      <w:r>
        <w:rPr>
          <w:rFonts w:ascii="Times New Roman" w:hAnsi="Times New Roman" w:eastAsia="方正仿宋_GBK" w:cs="Times New Roman"/>
          <w:sz w:val="24"/>
          <w:highlight w:val="none"/>
          <w:u w:val="single"/>
        </w:rPr>
        <w:t xml:space="preserve">                            </w:t>
      </w:r>
      <w:r>
        <w:rPr>
          <w:rFonts w:ascii="Times New Roman" w:hAnsi="Times New Roman" w:eastAsia="方正仿宋_GBK" w:cs="Times New Roman"/>
          <w:sz w:val="24"/>
          <w:highlight w:val="none"/>
        </w:rPr>
        <w:t>。</w:t>
      </w:r>
    </w:p>
    <w:p>
      <w:pPr>
        <w:pStyle w:val="3"/>
        <w:spacing w:after="0" w:line="570" w:lineRule="atLeast"/>
        <w:ind w:left="0" w:leftChars="0" w:firstLine="600" w:firstLineChars="25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spacing w:line="570" w:lineRule="atLeast"/>
        <w:ind w:firstLine="630"/>
        <w:rPr>
          <w:rFonts w:ascii="Times New Roman" w:hAnsi="Times New Roman" w:eastAsia="方正仿宋_GBK" w:cs="Times New Roman"/>
          <w:sz w:val="24"/>
          <w:highlight w:val="none"/>
        </w:rPr>
      </w:pP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供应商单位名称：       （盖章） 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供应商单位法定代表人或授权代表（签字）：        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spacing w:line="570" w:lineRule="atLeast"/>
        <w:ind w:firstLine="480" w:firstLineChars="20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附：授权销售产品清单</w:t>
      </w:r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  <w:bookmarkStart w:id="2" w:name="_Toc174767233"/>
      <w:bookmarkStart w:id="3" w:name="_Toc237343703"/>
      <w:bookmarkStart w:id="4" w:name="_Toc95295163"/>
    </w:p>
    <w:p>
      <w:pPr>
        <w:spacing w:line="570" w:lineRule="atLeast"/>
        <w:rPr>
          <w:rFonts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spacing w:line="570" w:lineRule="atLeast"/>
        <w:rPr>
          <w:rFonts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（采购单位名称）：</w:t>
      </w:r>
    </w:p>
    <w:p>
      <w:pPr>
        <w:tabs>
          <w:tab w:val="left" w:pos="720"/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 xml:space="preserve">   本授权声明：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（投标人名称）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（法定代表人姓名、职务）授权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                         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（被授权人姓名、职务）为我方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ascii="Times New Roman" w:hAnsi="Times New Roman" w:eastAsia="方正仿宋_GBK" w:cs="Times New Roman"/>
          <w:color w:val="000000"/>
          <w:sz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特此声明。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法定代表人签字：</w:t>
      </w:r>
    </w:p>
    <w:p>
      <w:pPr>
        <w:tabs>
          <w:tab w:val="left" w:pos="6300"/>
        </w:tabs>
        <w:spacing w:line="570" w:lineRule="atLeast"/>
        <w:ind w:firstLine="573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授权代表签字：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投标人名称：</w:t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ab/>
      </w: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  （加盖公章）</w:t>
      </w:r>
    </w:p>
    <w:p>
      <w:pPr>
        <w:spacing w:line="570" w:lineRule="atLeast"/>
        <w:ind w:firstLine="480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>日期：</w:t>
      </w:r>
    </w:p>
    <w:p>
      <w:pPr>
        <w:tabs>
          <w:tab w:val="left" w:pos="6300"/>
        </w:tabs>
        <w:spacing w:line="570" w:lineRule="atLeast"/>
        <w:rPr>
          <w:rFonts w:ascii="Times New Roman" w:hAnsi="Times New Roman" w:eastAsia="方正仿宋_GBK" w:cs="Times New Roman"/>
          <w:sz w:val="24"/>
          <w:highlight w:val="none"/>
        </w:rPr>
      </w:pPr>
      <w:r>
        <w:rPr>
          <w:rFonts w:ascii="Times New Roman" w:hAnsi="Times New Roman" w:eastAsia="方正仿宋_GBK" w:cs="Times New Roman"/>
          <w:sz w:val="24"/>
          <w:highlight w:val="none"/>
        </w:rPr>
        <w:t xml:space="preserve">    ★说明：上述证明文件附有法定代表人、被授权代表身份证复印件（加盖公章）时才能生效。</w:t>
      </w:r>
      <w:bookmarkEnd w:id="2"/>
      <w:bookmarkEnd w:id="3"/>
      <w:bookmarkEnd w:id="4"/>
    </w:p>
    <w:p>
      <w:pPr>
        <w:spacing w:line="570" w:lineRule="atLeast"/>
        <w:rPr>
          <w:rFonts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eastAsia="方正仿宋_GBK"/>
          <w:sz w:val="32"/>
          <w:szCs w:val="32"/>
          <w:highlight w:val="none"/>
        </w:rPr>
      </w:pPr>
    </w:p>
    <w:p>
      <w:pPr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after="0" w:line="570" w:lineRule="atLeast"/>
        <w:ind w:firstLine="480" w:firstLineChars="200"/>
        <w:jc w:val="left"/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</w:rPr>
        <w:t>日期：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們泊冬吴@^_^">
    <w15:presenceInfo w15:providerId="WPS Office" w15:userId="8094943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710EE"/>
    <w:rsid w:val="2AD8770B"/>
    <w:rsid w:val="78E2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 w:eastAsia="宋体" w:cs="Times New Roman"/>
      <w:szCs w:val="22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2025-05-09T06:41:00Z</dcterms:created>
  <dc:creator>OS</dc:creator>
  <cp:lastModifiedBy>們泊冬吴@^_^</cp:lastModifiedBy>
  <dcterms:modified xsi:type="dcterms:W3CDTF">2025-05-09T06:59:17Z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