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70" w:lineRule="atLeast"/>
        <w:jc w:val="both"/>
        <w:rPr>
          <w:rFonts w:hint="default" w:ascii="Times New Roman" w:hAnsi="Times New Roman" w:eastAsia="方正小标宋_GBK" w:cs="Times New Roman"/>
          <w:color w:val="333333"/>
          <w:kern w:val="0"/>
          <w:sz w:val="32"/>
          <w:szCs w:val="32"/>
          <w:highlight w:val="none"/>
          <w:lang w:val="en-US" w:eastAsia="zh-CN"/>
        </w:rPr>
      </w:pPr>
      <w:r>
        <w:rPr>
          <w:rFonts w:hint="default" w:ascii="Times New Roman" w:hAnsi="Times New Roman" w:eastAsia="方正小标宋_GBK" w:cs="Times New Roman"/>
          <w:color w:val="333333"/>
          <w:kern w:val="0"/>
          <w:sz w:val="32"/>
          <w:szCs w:val="32"/>
          <w:highlight w:val="none"/>
          <w:lang w:val="en-US" w:eastAsia="zh-CN"/>
        </w:rPr>
        <w:t>附件：</w:t>
      </w:r>
    </w:p>
    <w:p>
      <w:pPr>
        <w:pStyle w:val="2"/>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黑体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一、</w:t>
      </w:r>
      <w:r>
        <w:rPr>
          <w:rFonts w:hint="default" w:ascii="Times New Roman" w:hAnsi="Times New Roman" w:eastAsia="方正黑体_GBK" w:cs="Times New Roman"/>
          <w:kern w:val="2"/>
          <w:sz w:val="28"/>
          <w:szCs w:val="28"/>
          <w:highlight w:val="none"/>
          <w:lang w:val="en-US" w:eastAsia="zh-CN" w:bidi="ar-SA"/>
          <w14:ligatures w14:val="standardContextual"/>
        </w:rPr>
        <w:t>项目名称：</w:t>
      </w:r>
      <w:r>
        <w:rPr>
          <w:rFonts w:hint="default" w:ascii="Times New Roman" w:hAnsi="Times New Roman" w:eastAsia="方正仿宋_GBK" w:cs="Times New Roman"/>
          <w:kern w:val="2"/>
          <w:sz w:val="28"/>
          <w:szCs w:val="28"/>
          <w:highlight w:val="none"/>
          <w:lang w:val="en-US" w:eastAsia="zh-CN" w:bidi="ar-SA"/>
          <w14:ligatures w14:val="standardContextual"/>
        </w:rPr>
        <w:t>医学影像科设备一批采购项目。</w:t>
      </w:r>
    </w:p>
    <w:p>
      <w:pPr>
        <w:pStyle w:val="2"/>
        <w:keepNext w:val="0"/>
        <w:keepLines w:val="0"/>
        <w:pageBreakBefore w:val="0"/>
        <w:kinsoku/>
        <w:wordWrap/>
        <w:overflowPunct/>
        <w:topLinePunct w:val="0"/>
        <w:autoSpaceDE/>
        <w:autoSpaceDN/>
        <w:bidi w:val="0"/>
        <w:spacing w:after="0" w:line="570" w:lineRule="atLeast"/>
        <w:ind w:firstLine="560" w:firstLineChars="200"/>
        <w:textAlignment w:val="auto"/>
        <w:rPr>
          <w:rFonts w:hint="eastAsia"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二、</w:t>
      </w:r>
      <w:r>
        <w:rPr>
          <w:rFonts w:hint="default" w:ascii="Times New Roman" w:hAnsi="Times New Roman" w:eastAsia="方正黑体_GBK" w:cs="Times New Roman"/>
          <w:kern w:val="2"/>
          <w:sz w:val="28"/>
          <w:szCs w:val="28"/>
          <w:highlight w:val="none"/>
          <w:lang w:val="en-US" w:eastAsia="zh-CN" w:bidi="ar-SA"/>
          <w14:ligatures w14:val="standardContextual"/>
        </w:rPr>
        <w:t>最高限价：</w:t>
      </w:r>
      <w:r>
        <w:rPr>
          <w:rFonts w:hint="eastAsia" w:eastAsia="方正仿宋_GBK" w:cs="Times New Roman"/>
          <w:kern w:val="2"/>
          <w:sz w:val="28"/>
          <w:szCs w:val="28"/>
          <w:highlight w:val="none"/>
          <w:lang w:val="en-US" w:eastAsia="zh-CN" w:bidi="ar-SA"/>
          <w14:ligatures w14:val="standardContextual"/>
        </w:rPr>
        <w:t>7.2</w:t>
      </w:r>
      <w:r>
        <w:rPr>
          <w:rFonts w:hint="default" w:ascii="Times New Roman" w:hAnsi="Times New Roman" w:eastAsia="方正仿宋_GBK" w:cs="Times New Roman"/>
          <w:kern w:val="2"/>
          <w:sz w:val="28"/>
          <w:szCs w:val="28"/>
          <w:highlight w:val="none"/>
          <w:lang w:val="en-US" w:eastAsia="zh-CN" w:bidi="ar-SA"/>
          <w14:ligatures w14:val="standardContextual"/>
        </w:rPr>
        <w:t>万元</w:t>
      </w:r>
      <w:r>
        <w:rPr>
          <w:rFonts w:hint="eastAsia" w:eastAsia="方正仿宋_GBK" w:cs="Times New Roman"/>
          <w:kern w:val="2"/>
          <w:sz w:val="28"/>
          <w:szCs w:val="28"/>
          <w:highlight w:val="none"/>
          <w:lang w:val="en-US" w:eastAsia="zh-CN" w:bidi="ar-SA"/>
          <w14:ligatures w14:val="standardContextual"/>
        </w:rPr>
        <w:t>，单价限价详见相关要求，超过限价的报价其响应文件作无效处理。</w:t>
      </w:r>
    </w:p>
    <w:p>
      <w:pPr>
        <w:pStyle w:val="2"/>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三、</w:t>
      </w:r>
      <w:r>
        <w:rPr>
          <w:rFonts w:hint="default" w:ascii="Times New Roman" w:hAnsi="Times New Roman" w:eastAsia="方正黑体_GBK" w:cs="Times New Roman"/>
          <w:kern w:val="2"/>
          <w:sz w:val="28"/>
          <w:szCs w:val="28"/>
          <w:highlight w:val="none"/>
          <w:lang w:val="en-US" w:eastAsia="zh-CN" w:bidi="ar-SA"/>
          <w14:ligatures w14:val="standardContextual"/>
        </w:rPr>
        <w:t>相关要求：</w:t>
      </w:r>
    </w:p>
    <w:p>
      <w:pPr>
        <w:pStyle w:val="2"/>
        <w:keepNext w:val="0"/>
        <w:keepLines w:val="0"/>
        <w:pageBreakBefore w:val="0"/>
        <w:numPr>
          <w:ilvl w:val="0"/>
          <w:numId w:val="0"/>
        </w:numPr>
        <w:kinsoku/>
        <w:wordWrap/>
        <w:overflowPunct/>
        <w:topLinePunct w:val="0"/>
        <w:autoSpaceDE/>
        <w:autoSpaceDN/>
        <w:bidi w:val="0"/>
        <w:spacing w:after="0" w:line="500" w:lineRule="exact"/>
        <w:ind w:firstLine="560" w:firstLineChars="200"/>
        <w:textAlignment w:val="auto"/>
        <w:rPr>
          <w:rFonts w:hint="eastAsia" w:eastAsia="方正仿宋_GBK" w:cs="Times New Roman"/>
          <w:kern w:val="2"/>
          <w:sz w:val="28"/>
          <w:szCs w:val="28"/>
          <w:highlight w:val="none"/>
          <w:lang w:val="en-US" w:eastAsia="zh-CN" w:bidi="ar-SA"/>
          <w14:ligatures w14:val="standardContextual"/>
        </w:rPr>
      </w:pPr>
      <w:r>
        <w:rPr>
          <w:rFonts w:hint="eastAsia" w:eastAsia="方正仿宋_GBK" w:cs="Times New Roman"/>
          <w:kern w:val="2"/>
          <w:sz w:val="28"/>
          <w:szCs w:val="28"/>
          <w:highlight w:val="none"/>
          <w:lang w:val="en-US" w:eastAsia="zh-CN" w:bidi="ar-SA"/>
          <w14:ligatures w14:val="standardContextual"/>
        </w:rPr>
        <w:t>（一）需求清单：</w:t>
      </w:r>
    </w:p>
    <w:tbl>
      <w:tblPr>
        <w:tblStyle w:val="4"/>
        <w:tblpPr w:leftFromText="180" w:rightFromText="180" w:vertAnchor="text" w:horzAnchor="page" w:tblpXSpec="center" w:tblpY="488"/>
        <w:tblOverlap w:val="never"/>
        <w:tblW w:w="8536" w:type="dxa"/>
        <w:jc w:val="center"/>
        <w:tblInd w:w="8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2"/>
        <w:gridCol w:w="3398"/>
        <w:gridCol w:w="1519"/>
        <w:gridCol w:w="26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6" w:hRule="atLeast"/>
          <w:jc w:val="center"/>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序号</w:t>
            </w:r>
          </w:p>
        </w:tc>
        <w:tc>
          <w:tcPr>
            <w:tcW w:w="3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设备名称</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lang w:val="en-US" w:eastAsia="zh-CN"/>
              </w:rPr>
            </w:pPr>
            <w:r>
              <w:rPr>
                <w:rFonts w:hint="default" w:ascii="Times New Roman" w:hAnsi="Times New Roman" w:eastAsia="方正仿宋_GBK" w:cs="Times New Roman"/>
                <w:b/>
                <w:bCs/>
                <w:i w:val="0"/>
                <w:iCs w:val="0"/>
                <w:color w:val="000000"/>
                <w:sz w:val="24"/>
                <w:szCs w:val="24"/>
                <w:highlight w:val="none"/>
                <w:u w:val="none"/>
                <w:lang w:val="en-US" w:eastAsia="zh-CN"/>
              </w:rPr>
              <w:t>单价限价</w:t>
            </w:r>
            <w:r>
              <w:rPr>
                <w:rFonts w:hint="eastAsia" w:ascii="Times New Roman" w:hAnsi="Times New Roman" w:eastAsia="方正仿宋_GBK" w:cs="Times New Roman"/>
                <w:b/>
                <w:bCs/>
                <w:i w:val="0"/>
                <w:iCs w:val="0"/>
                <w:color w:val="000000"/>
                <w:sz w:val="24"/>
                <w:szCs w:val="24"/>
                <w:highlight w:val="none"/>
                <w:u w:val="none"/>
                <w:lang w:val="en-US" w:eastAsia="zh-CN"/>
              </w:rPr>
              <w:t>（元）</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lang w:val="en-US" w:eastAsia="zh-CN"/>
              </w:rPr>
            </w:pPr>
            <w:r>
              <w:rPr>
                <w:rFonts w:hint="eastAsia" w:ascii="Times New Roman" w:hAnsi="Times New Roman" w:eastAsia="方正仿宋_GBK" w:cs="Times New Roman"/>
                <w:b/>
                <w:bCs/>
                <w:i w:val="0"/>
                <w:iCs w:val="0"/>
                <w:color w:val="000000"/>
                <w:sz w:val="24"/>
                <w:szCs w:val="24"/>
                <w:highlight w:val="none"/>
                <w:u w:val="none"/>
                <w:lang w:val="en-US" w:eastAsia="zh-CN"/>
              </w:rPr>
              <w:t>需求数量（台）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3" w:hRule="atLeast"/>
          <w:jc w:val="center"/>
        </w:trPr>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3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动态心电图</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default" w:ascii="Times New Roman" w:hAnsi="Times New Roman" w:eastAsia="方正仿宋_GBK" w:cs="Times New Roman"/>
                <w:i w:val="0"/>
                <w:iCs w:val="0"/>
                <w:color w:val="000000"/>
                <w:sz w:val="24"/>
                <w:szCs w:val="24"/>
                <w:highlight w:val="none"/>
                <w:u w:val="none"/>
                <w:lang w:val="en-US" w:eastAsia="zh-CN"/>
              </w:rPr>
              <w:t>2000</w:t>
            </w:r>
            <w:r>
              <w:rPr>
                <w:rFonts w:hint="eastAsia" w:ascii="Times New Roman" w:hAnsi="Times New Roman" w:eastAsia="方正仿宋_GBK" w:cs="Times New Roman"/>
                <w:i w:val="0"/>
                <w:iCs w:val="0"/>
                <w:color w:val="000000"/>
                <w:sz w:val="24"/>
                <w:szCs w:val="24"/>
                <w:highlight w:val="none"/>
                <w:u w:val="none"/>
                <w:lang w:val="en-US" w:eastAsia="zh-CN"/>
              </w:rPr>
              <w:t>0</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7" w:hRule="atLeast"/>
          <w:jc w:val="center"/>
        </w:trPr>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3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心电工作站</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default" w:ascii="Times New Roman" w:hAnsi="Times New Roman" w:eastAsia="方正仿宋_GBK" w:cs="Times New Roman"/>
                <w:i w:val="0"/>
                <w:iCs w:val="0"/>
                <w:color w:val="000000"/>
                <w:sz w:val="24"/>
                <w:szCs w:val="24"/>
                <w:highlight w:val="none"/>
                <w:u w:val="none"/>
                <w:lang w:val="en-US" w:eastAsia="zh-CN"/>
              </w:rPr>
              <w:t>2200</w:t>
            </w:r>
            <w:r>
              <w:rPr>
                <w:rFonts w:hint="eastAsia" w:ascii="Times New Roman" w:hAnsi="Times New Roman" w:eastAsia="方正仿宋_GBK" w:cs="Times New Roman"/>
                <w:i w:val="0"/>
                <w:iCs w:val="0"/>
                <w:color w:val="000000"/>
                <w:sz w:val="24"/>
                <w:szCs w:val="24"/>
                <w:highlight w:val="none"/>
                <w:u w:val="none"/>
                <w:lang w:val="en-US" w:eastAsia="zh-CN"/>
              </w:rPr>
              <w:t>0</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7" w:hRule="atLeast"/>
          <w:jc w:val="center"/>
        </w:trPr>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w:t>
            </w:r>
          </w:p>
        </w:tc>
        <w:tc>
          <w:tcPr>
            <w:tcW w:w="3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心电图分析仪</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30000</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1</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560" w:firstLineChars="200"/>
        <w:jc w:val="left"/>
        <w:textAlignment w:val="auto"/>
        <w:rPr>
          <w:rFonts w:hint="eastAsia" w:ascii="Times New Roman" w:hAnsi="Times New Roman" w:eastAsia="方正仿宋_GBK" w:cs="Times New Roman"/>
          <w:kern w:val="2"/>
          <w:sz w:val="28"/>
          <w:szCs w:val="28"/>
          <w:highlight w:val="none"/>
          <w:lang w:val="en-US" w:eastAsia="zh-CN" w:bidi="ar-SA"/>
          <w14:ligatures w14:val="standardContextual"/>
        </w:rPr>
      </w:pPr>
    </w:p>
    <w:p>
      <w:pPr>
        <w:keepNext w:val="0"/>
        <w:keepLines w:val="0"/>
        <w:pageBreakBefore w:val="0"/>
        <w:widowControl/>
        <w:numPr>
          <w:ilvl w:val="0"/>
          <w:numId w:val="1"/>
        </w:numPr>
        <w:kinsoku/>
        <w:wordWrap/>
        <w:overflowPunct/>
        <w:topLinePunct w:val="0"/>
        <w:autoSpaceDE/>
        <w:autoSpaceDN/>
        <w:bidi w:val="0"/>
        <w:adjustRightInd w:val="0"/>
        <w:snapToGrid w:val="0"/>
        <w:spacing w:after="0" w:line="500" w:lineRule="exact"/>
        <w:ind w:firstLine="560" w:firstLineChars="200"/>
        <w:jc w:val="left"/>
        <w:textAlignment w:val="auto"/>
        <w:rPr>
          <w:rFonts w:hint="eastAsia"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★商务服务要求：</w:t>
      </w:r>
    </w:p>
    <w:p>
      <w:pPr>
        <w:pStyle w:val="2"/>
        <w:numPr>
          <w:ilvl w:val="0"/>
          <w:numId w:val="0"/>
        </w:numPr>
        <w:rPr>
          <w:rFonts w:hint="eastAsia"/>
          <w:highlight w:val="none"/>
          <w:lang w:val="en-US" w:eastAsia="zh-CN"/>
        </w:rPr>
      </w:pPr>
    </w:p>
    <w:tbl>
      <w:tblPr>
        <w:tblStyle w:val="5"/>
        <w:tblW w:w="8595" w:type="dxa"/>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35"/>
        <w:gridCol w:w="7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bCs w:val="0"/>
                <w:sz w:val="20"/>
                <w:szCs w:val="20"/>
                <w:highlight w:val="none"/>
                <w:lang w:val="en-US" w:eastAsia="zh-CN"/>
              </w:rPr>
              <w:br w:type="page"/>
            </w:r>
            <w:r>
              <w:rPr>
                <w:rFonts w:hint="eastAsia" w:ascii="方正仿宋_GBK" w:hAnsi="方正仿宋_GBK" w:eastAsia="方正仿宋_GBK" w:cs="方正仿宋_GBK"/>
                <w:b/>
                <w:bCs w:val="0"/>
                <w:sz w:val="20"/>
                <w:szCs w:val="20"/>
                <w:highlight w:val="none"/>
                <w:lang w:val="zh-CN" w:eastAsia="zh-CN"/>
              </w:rPr>
              <w:t>序号</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bCs w:val="0"/>
                <w:sz w:val="20"/>
                <w:szCs w:val="20"/>
                <w:highlight w:val="none"/>
                <w:lang w:val="zh-CN" w:eastAsia="zh-CN"/>
              </w:rPr>
              <w:t>内容</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both"/>
              <w:textAlignment w:val="auto"/>
              <w:rPr>
                <w:rFonts w:hint="default" w:ascii="Times New Roman" w:hAnsi="Times New Roman" w:eastAsia="方正仿宋_GBK" w:cs="Times New Roman"/>
                <w:b/>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bCs w:val="0"/>
                <w:sz w:val="20"/>
                <w:szCs w:val="20"/>
                <w:highlight w:val="none"/>
                <w:lang w:val="zh-CN"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1</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项目完成时间</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采购合同签订后</w:t>
            </w:r>
            <w:r>
              <w:rPr>
                <w:rFonts w:hint="eastAsia" w:ascii="方正仿宋_GBK" w:hAnsi="方正仿宋_GBK" w:eastAsia="方正仿宋_GBK" w:cs="方正仿宋_GBK"/>
                <w:b w:val="0"/>
                <w:bCs/>
                <w:sz w:val="20"/>
                <w:szCs w:val="20"/>
                <w:highlight w:val="none"/>
                <w:lang w:val="en-US" w:eastAsia="zh-CN"/>
              </w:rPr>
              <w:t>30</w:t>
            </w:r>
            <w:r>
              <w:rPr>
                <w:rFonts w:hint="eastAsia" w:ascii="方正仿宋_GBK" w:hAnsi="方正仿宋_GBK" w:eastAsia="方正仿宋_GBK" w:cs="方正仿宋_GBK"/>
                <w:b w:val="0"/>
                <w:bCs/>
                <w:sz w:val="20"/>
                <w:szCs w:val="20"/>
                <w:highlight w:val="none"/>
                <w:lang w:val="zh-CN" w:eastAsia="zh-CN"/>
              </w:rPr>
              <w:t>日内，完成货物交付和安装、调试，交付比选人验收。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2</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项目实施地点</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比选人指定地点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3</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售后服务期</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质保1年</w:t>
            </w:r>
            <w:r>
              <w:rPr>
                <w:rFonts w:hint="eastAsia" w:ascii="方正仿宋_GBK" w:hAnsi="方正仿宋_GBK" w:eastAsia="方正仿宋_GBK" w:cs="方正仿宋_GBK"/>
                <w:b w:val="0"/>
                <w:bCs/>
                <w:sz w:val="20"/>
                <w:szCs w:val="20"/>
                <w:highlight w:val="none"/>
                <w:lang w:val="zh-CN" w:eastAsia="zh-CN"/>
              </w:rPr>
              <w:t>，自最终验收合格之日起算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4</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报价</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报价应是最终用户验收合格后的总价，包括但不限于包装、运输、安装调试、保险、风险、所有税费、验收合格交付使用及保修期内保修服务与备用物件和比选文件规定的其它全部费用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5</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合同价款支付</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项目实施完成验收合格</w:t>
            </w:r>
            <w:r>
              <w:rPr>
                <w:rFonts w:hint="eastAsia" w:ascii="方正仿宋_GBK" w:hAnsi="方正仿宋_GBK" w:eastAsia="方正仿宋_GBK" w:cs="方正仿宋_GBK"/>
                <w:b w:val="0"/>
                <w:bCs/>
                <w:sz w:val="20"/>
                <w:szCs w:val="20"/>
                <w:highlight w:val="none"/>
                <w:lang w:val="en-US" w:eastAsia="zh-CN"/>
              </w:rPr>
              <w:t>后</w:t>
            </w:r>
            <w:r>
              <w:rPr>
                <w:rFonts w:hint="eastAsia" w:ascii="方正仿宋_GBK" w:hAnsi="方正仿宋_GBK" w:eastAsia="方正仿宋_GBK" w:cs="方正仿宋_GBK"/>
                <w:b w:val="0"/>
                <w:bCs/>
                <w:sz w:val="20"/>
                <w:szCs w:val="20"/>
                <w:highlight w:val="none"/>
                <w:lang w:val="zh-CN" w:eastAsia="zh-CN"/>
              </w:rPr>
              <w:t>，支付</w:t>
            </w:r>
            <w:r>
              <w:rPr>
                <w:rFonts w:hint="eastAsia" w:ascii="方正仿宋_GBK" w:hAnsi="方正仿宋_GBK" w:eastAsia="方正仿宋_GBK" w:cs="方正仿宋_GBK"/>
                <w:b w:val="0"/>
                <w:bCs/>
                <w:sz w:val="20"/>
                <w:szCs w:val="20"/>
                <w:highlight w:val="none"/>
                <w:lang w:val="en-US" w:eastAsia="zh-CN"/>
              </w:rPr>
              <w:t>100</w:t>
            </w:r>
            <w:r>
              <w:rPr>
                <w:rFonts w:hint="eastAsia" w:ascii="方正仿宋_GBK" w:hAnsi="方正仿宋_GBK" w:eastAsia="方正仿宋_GBK" w:cs="方正仿宋_GBK"/>
                <w:b w:val="0"/>
                <w:bCs/>
                <w:sz w:val="20"/>
                <w:szCs w:val="20"/>
                <w:highlight w:val="none"/>
                <w:lang w:val="zh-CN" w:eastAsia="zh-CN"/>
              </w:rPr>
              <w:t>%的合同总价款；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6</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履约验收</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eastAsia" w:ascii="方正仿宋_GBK" w:hAnsi="方正仿宋_GBK" w:eastAsia="方正仿宋_GBK" w:cs="方正仿宋_GBK"/>
                <w:b w:val="0"/>
                <w:bCs/>
                <w:sz w:val="20"/>
                <w:szCs w:val="20"/>
                <w:highlight w:val="none"/>
                <w:lang w:val="en-US" w:eastAsia="zh-CN"/>
              </w:rPr>
            </w:pPr>
            <w:r>
              <w:rPr>
                <w:rFonts w:hint="eastAsia" w:ascii="方正仿宋_GBK" w:hAnsi="方正仿宋_GBK" w:eastAsia="方正仿宋_GBK" w:cs="方正仿宋_GBK"/>
                <w:b w:val="0"/>
                <w:bCs/>
                <w:sz w:val="20"/>
                <w:szCs w:val="20"/>
                <w:highlight w:val="none"/>
                <w:lang w:val="en-US" w:eastAsia="zh-CN"/>
              </w:rPr>
              <w:t>（1）符合国家、行业标准、四川省地方标准规定的验收标准。</w:t>
            </w:r>
          </w:p>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eastAsia" w:ascii="方正仿宋_GBK" w:hAnsi="方正仿宋_GBK" w:eastAsia="方正仿宋_GBK" w:cs="方正仿宋_GBK"/>
                <w:b w:val="0"/>
                <w:bCs/>
                <w:sz w:val="20"/>
                <w:szCs w:val="20"/>
                <w:highlight w:val="none"/>
                <w:lang w:val="en-US" w:eastAsia="zh-CN"/>
              </w:rPr>
            </w:pPr>
            <w:r>
              <w:rPr>
                <w:rFonts w:hint="eastAsia" w:ascii="方正仿宋_GBK" w:hAnsi="方正仿宋_GBK" w:eastAsia="方正仿宋_GBK" w:cs="方正仿宋_GBK"/>
                <w:b w:val="0"/>
                <w:bCs/>
                <w:sz w:val="20"/>
                <w:szCs w:val="20"/>
                <w:highlight w:val="none"/>
                <w:lang w:val="en-US" w:eastAsia="zh-CN"/>
              </w:rPr>
              <w:t>（2）验收时如发现所交付的货物有短装、次品、损坏或其它不符合标准及合同规定之情形者，采购人应做出详尽的现场记录，或由采购人与供应商双方签署备忘录，此现场记录或备忘录可用作补充、缺失和更换损坏部件的有效证据，由此产生的时间延误与有关费用由供应商承担；</w:t>
            </w:r>
          </w:p>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eastAsia" w:ascii="方正仿宋_GBK" w:hAnsi="方正仿宋_GBK" w:eastAsia="方正仿宋_GBK" w:cs="方正仿宋_GBK"/>
                <w:b w:val="0"/>
                <w:bCs/>
                <w:sz w:val="20"/>
                <w:szCs w:val="20"/>
                <w:highlight w:val="none"/>
                <w:lang w:val="en-US" w:eastAsia="zh-CN"/>
              </w:rPr>
            </w:pPr>
            <w:r>
              <w:rPr>
                <w:rFonts w:hint="eastAsia" w:ascii="方正仿宋_GBK" w:hAnsi="方正仿宋_GBK" w:eastAsia="方正仿宋_GBK" w:cs="方正仿宋_GBK"/>
                <w:b w:val="0"/>
                <w:bCs/>
                <w:sz w:val="20"/>
                <w:szCs w:val="20"/>
                <w:highlight w:val="none"/>
                <w:lang w:val="en-US" w:eastAsia="zh-CN"/>
              </w:rPr>
              <w:t>（3）供应商应将所提供货物的装箱清单、配件、随机工具、用户使用手册、原厂保修卡等资料交付给采购人；供应商不能完整交付货物及本款规定的单证和工具的，必须负责补齐，否则视为未按合同约定交货；</w:t>
            </w:r>
          </w:p>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（4）其他未尽事宜应严格参照《财政部关于进一步加强政府采购需求和履约验收管理的指导意见》（财库〔2016〕205号）、《政府采购需求管理办法》（财库〔2021〕22号）的要求进行验收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2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7</w:t>
            </w:r>
          </w:p>
        </w:tc>
        <w:tc>
          <w:tcPr>
            <w:tcW w:w="1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保险</w:t>
            </w:r>
          </w:p>
        </w:tc>
        <w:tc>
          <w:tcPr>
            <w:tcW w:w="703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比选申请人自行运输标的物或委托承运人运输的，应为该批货物购买货物运输保险及运输工具航程保险，其损毁、灭失的风险自合同成立时起由比选申请人承担。</w:t>
            </w:r>
          </w:p>
        </w:tc>
      </w:tr>
    </w:tbl>
    <w:p>
      <w:pPr>
        <w:pStyle w:val="2"/>
        <w:numPr>
          <w:ilvl w:val="0"/>
          <w:numId w:val="0"/>
        </w:numPr>
        <w:rPr>
          <w:rFonts w:hint="eastAsia"/>
          <w:highlight w:val="none"/>
          <w:lang w:val="en-US" w:eastAsia="zh-CN"/>
        </w:rPr>
      </w:pPr>
    </w:p>
    <w:p>
      <w:pPr>
        <w:keepNext w:val="0"/>
        <w:keepLines w:val="0"/>
        <w:pageBreakBefore w:val="0"/>
        <w:numPr>
          <w:ilvl w:val="0"/>
          <w:numId w:val="2"/>
        </w:numPr>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技术参数</w:t>
      </w:r>
      <w:r>
        <w:rPr>
          <w:rFonts w:hint="eastAsia" w:ascii="Times New Roman" w:hAnsi="Times New Roman" w:eastAsia="方正仿宋_GBK" w:cs="Times New Roman"/>
          <w:kern w:val="2"/>
          <w:sz w:val="28"/>
          <w:szCs w:val="28"/>
          <w:highlight w:val="none"/>
          <w:lang w:val="en-US" w:eastAsia="zh-CN" w:bidi="ar-SA"/>
          <w14:ligatures w14:val="standardContextual"/>
        </w:rPr>
        <w:t>要求：</w:t>
      </w:r>
    </w:p>
    <w:tbl>
      <w:tblPr>
        <w:tblStyle w:val="4"/>
        <w:tblpPr w:leftFromText="180" w:rightFromText="180" w:vertAnchor="text" w:horzAnchor="page" w:tblpX="1620" w:tblpY="635"/>
        <w:tblOverlap w:val="never"/>
        <w:tblW w:w="87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1400"/>
        <w:gridCol w:w="6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序号</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设备名称</w:t>
            </w:r>
          </w:p>
        </w:tc>
        <w:tc>
          <w:tcPr>
            <w:tcW w:w="6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highlight w:val="none"/>
                <w:u w:val="none"/>
                <w:lang w:val="en-US" w:eastAsia="zh-CN"/>
              </w:rPr>
            </w:pPr>
            <w:r>
              <w:rPr>
                <w:rFonts w:hint="default" w:ascii="Times New Roman" w:hAnsi="Times New Roman" w:eastAsia="方正仿宋_GBK" w:cs="Times New Roman"/>
                <w:b/>
                <w:bCs/>
                <w:i w:val="0"/>
                <w:iCs w:val="0"/>
                <w:color w:val="000000"/>
                <w:sz w:val="24"/>
                <w:szCs w:val="24"/>
                <w:highlight w:val="none"/>
                <w:u w:val="none"/>
                <w:lang w:val="en-US" w:eastAsia="zh-CN"/>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动态心电图</w:t>
            </w:r>
          </w:p>
        </w:tc>
        <w:tc>
          <w:tcPr>
            <w:tcW w:w="685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1、导联数目：12导联/3导联双模式记录，自动识别导联线类型。</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2、记录时间：支持1-30天连续记录。</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3、采样率不低于30000点/秒，存储采样率250-1000点/秒可调。</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4、A/D精度不低于24位A/D转换精度。</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5、频率特性：0.05-240Hz；动态输入范围：±20mV。</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6、彩色OLED显示屏，重量不超过65克。</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7、起搏检测：独立多通道起搏检测，自主知识产权或专利的起搏脉冲检测和识别技术。</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8、具有体位功能，可连续记录体位和运动状态信息。</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9、防水保护：具有IPX6级防护功能。</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10、数据传输：支持蓝牙、USB数据线、读卡器三种通讯方式。</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11、软件支持信号质量分析智能自动导联功能。</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12、软件支持全流程设置，支持功能模块的设置及排序。</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13、软件具有时间散点图、小时时间散点图、单项限、差值和四象限散点图。</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14、软件支持散点图和叠加图同步分析功能，叠加窗口支持关闭或开启。</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15、软件支持体位和心电图同步显示分析，通过颜色和人体体态和图像直观表示体位和运动状态信息，辅助医生判断心率变化和心电图改变。</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16、软件具有房颤房扑独立功能模块，支持房颤做独立心搏类型归类和统计心搏数量。房颤分析提供心搏能量图谱、RR离散图、P波瀑布图等分析技术。</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17、软件支持心搏形态智能学习二次归类技术，一键解决心搏重分类。</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18、软件支持PR间期趋势图、心向量、TWA和心率减速力等高级分析。</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19、软件支持7天连续数据分析，报告可选1天或7天整体报告。</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20、支持升级网络化功能，采用专业数据库管理原始数据和报告，支持科室分析终端、医院与分院、医院与社区医院之间进行原始数据的远程传输、管理和共享。</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iCs w:val="0"/>
                <w:color w:val="0F1115"/>
                <w:sz w:val="24"/>
                <w:szCs w:val="24"/>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21、为保证动态心电检查流程与报告的统一性，动态心电硬件和软件可兼容医院原有动态心电设备和分析软件，实现互通使用。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心电工作站</w:t>
            </w:r>
          </w:p>
        </w:tc>
        <w:tc>
          <w:tcPr>
            <w:tcW w:w="685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1、导联数量：标准12导联同步采集。</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2、采集模式：支持12导联常规心电、动态心电和运动心电三种方式。</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3、采集时间：常规模式支持10秒/15秒/30秒/60秒/120秒/300秒/10分钟可选，动态模式支持24小时/48小时记录,采集时间和采集模式均通过记录器屏幕设置。</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4、采样率：最高可达16000点/秒/通道，存储频率可达1000点/秒/通道。</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5、A/D转换：24位； 频率响应：0.05〜150Hz。</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6、输入阻抗：≥10MΩ；输入电压范围：±10mV。</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7、 彩色触摸显示屏，支持单点触摸、单击、长按等操作，实时显示心电波形和工作状态。</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8、通讯方式：支持USB通讯电缆和WIFI两种通讯方式。</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9、主机重量不高于125克（不含电池），便于携带检查使用。</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10、供电方式：支持USB供电和锂电池两种供电方式。</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11、锂电池工作时间：连续记录时间不小于48小时。</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12、频率响应：0.05Hz~150Hz（-3dB）。</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13、共模抑制：≥105dB。</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14、噪声电平：≤15uVp-p。</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15、院内联网：采集盒无需平板电脑或手机，自带WIFI模块连接医院局域网，数据直接传输到医院系统中。</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lang w:eastAsia="zh-CN"/>
              </w:rPr>
              <w:t>▲</w:t>
            </w:r>
            <w:r>
              <w:rPr>
                <w:rFonts w:hint="default" w:ascii="Times New Roman" w:hAnsi="Times New Roman" w:eastAsia="方正仿宋_GBK" w:cs="Times New Roman"/>
                <w:i w:val="0"/>
                <w:color w:val="000000"/>
                <w:sz w:val="21"/>
                <w:szCs w:val="21"/>
                <w:highlight w:val="none"/>
                <w:u w:val="none"/>
              </w:rPr>
              <w:t>16、设备有校准演示功能，内置定标电压发生器，能够产生1mV方波定标电压，可以对工作站的整体灵敏度进行校准。</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17、分析软件具有WORKLIST、导联纠错、危急值提醒等功能。</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color w:val="000000"/>
                <w:sz w:val="21"/>
                <w:szCs w:val="21"/>
                <w:highlight w:val="none"/>
                <w:u w:val="none"/>
              </w:rPr>
            </w:pPr>
            <w:r>
              <w:rPr>
                <w:rFonts w:hint="default" w:ascii="Times New Roman" w:hAnsi="Times New Roman" w:eastAsia="方正仿宋_GBK" w:cs="Times New Roman"/>
                <w:i w:val="0"/>
                <w:color w:val="000000"/>
                <w:sz w:val="21"/>
                <w:szCs w:val="21"/>
                <w:highlight w:val="none"/>
                <w:u w:val="none"/>
              </w:rPr>
              <w:t>18、分析软件具有十二导联同步心电图的采集、频谱心电、高频心电、QT离散度、心率变异性、起搏心电、向量心电、时间向量、心室晚电位等功能。</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方正仿宋_GBK" w:cs="Times New Roman"/>
                <w:i w:val="0"/>
                <w:iCs w:val="0"/>
                <w:color w:val="0F1115"/>
                <w:kern w:val="0"/>
                <w:sz w:val="24"/>
                <w:szCs w:val="24"/>
                <w:highlight w:val="none"/>
                <w:u w:val="none"/>
                <w:lang w:val="en-US" w:eastAsia="zh-CN" w:bidi="ar"/>
              </w:rPr>
            </w:pPr>
            <w:r>
              <w:rPr>
                <w:rFonts w:hint="default" w:ascii="Times New Roman" w:hAnsi="Times New Roman" w:eastAsia="方正仿宋_GBK" w:cs="Times New Roman"/>
                <w:i w:val="0"/>
                <w:color w:val="000000"/>
                <w:sz w:val="21"/>
                <w:szCs w:val="21"/>
                <w:highlight w:val="none"/>
                <w:u w:val="none"/>
              </w:rPr>
              <w:t>19、软件提供联网功能，可实现数据的实时采集并传入网络，实现数据的远程实时传输、存储和共享。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心电图分析仪</w:t>
            </w:r>
          </w:p>
        </w:tc>
        <w:tc>
          <w:tcPr>
            <w:tcW w:w="685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w:t>
            </w:r>
            <w:r>
              <w:rPr>
                <w:rFonts w:hint="default" w:ascii="Times New Roman" w:hAnsi="Times New Roman" w:eastAsia="方正仿宋_GBK" w:cs="Times New Roman"/>
                <w:szCs w:val="24"/>
                <w:highlight w:val="none"/>
              </w:rPr>
              <w:t>导联：12导、9导同步心电图采集、显示、打印</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w:t>
            </w:r>
            <w:r>
              <w:rPr>
                <w:rFonts w:hint="default" w:ascii="Times New Roman" w:hAnsi="Times New Roman" w:eastAsia="方正仿宋_GBK" w:cs="Times New Roman"/>
                <w:szCs w:val="24"/>
                <w:highlight w:val="none"/>
              </w:rPr>
              <w:t>屏幕：≥10寸彩色电容触摸屏，屏幕亮度可调，支持背景网格显示</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3、</w:t>
            </w:r>
            <w:r>
              <w:rPr>
                <w:rFonts w:hint="default" w:ascii="Times New Roman" w:hAnsi="Times New Roman" w:eastAsia="方正仿宋_GBK" w:cs="Times New Roman"/>
                <w:szCs w:val="24"/>
                <w:highlight w:val="none"/>
              </w:rPr>
              <w:t>文件格式:支持DAT、SCP、PDF、XML、DICOM、BMP、JPG、TIFF等多种文件格式</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4、</w:t>
            </w:r>
            <w:r>
              <w:rPr>
                <w:rFonts w:hint="default" w:ascii="Times New Roman" w:hAnsi="Times New Roman" w:eastAsia="方正仿宋_GBK" w:cs="Times New Roman"/>
                <w:szCs w:val="24"/>
                <w:highlight w:val="none"/>
              </w:rPr>
              <w:t>内置存储：可存储1000例心电数据，支持USB、U盘外部存储扩展</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5、</w:t>
            </w:r>
            <w:r>
              <w:rPr>
                <w:rFonts w:hint="default" w:ascii="Times New Roman" w:hAnsi="Times New Roman" w:eastAsia="方正仿宋_GBK" w:cs="Times New Roman"/>
                <w:szCs w:val="24"/>
                <w:highlight w:val="none"/>
              </w:rPr>
              <w:t>工作模式：手动、自动、节律等模式</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default" w:ascii="Times New Roman" w:hAnsi="Times New Roman" w:eastAsia="方正仿宋_GBK" w:cs="Times New Roman"/>
                <w:szCs w:val="24"/>
                <w:highlight w:val="none"/>
              </w:rPr>
            </w:pPr>
            <w:r>
              <w:rPr>
                <w:rFonts w:hint="eastAsia" w:ascii="Times New Roman" w:hAnsi="Times New Roman" w:eastAsia="方正仿宋_GBK" w:cs="Times New Roman"/>
                <w:szCs w:val="24"/>
                <w:highlight w:val="none"/>
                <w:lang w:val="en-US" w:eastAsia="zh-CN"/>
              </w:rPr>
              <w:t>6、</w:t>
            </w:r>
            <w:r>
              <w:rPr>
                <w:rFonts w:hint="default" w:ascii="Times New Roman" w:hAnsi="Times New Roman" w:eastAsia="方正仿宋_GBK" w:cs="Times New Roman"/>
                <w:szCs w:val="24"/>
                <w:highlight w:val="none"/>
              </w:rPr>
              <w:t>记录格式：</w:t>
            </w:r>
          </w:p>
          <w:p>
            <w:pPr>
              <w:pStyle w:val="7"/>
              <w:keepNext w:val="0"/>
              <w:keepLines w:val="0"/>
              <w:pageBreakBefore w:val="0"/>
              <w:widowControl w:val="0"/>
              <w:kinsoku/>
              <w:wordWrap/>
              <w:overflowPunct/>
              <w:topLinePunct w:val="0"/>
              <w:autoSpaceDE/>
              <w:autoSpaceDN/>
              <w:bidi w:val="0"/>
              <w:adjustRightInd/>
              <w:snapToGrid/>
              <w:spacing w:after="0" w:line="240" w:lineRule="auto"/>
              <w:ind w:left="420" w:firstLine="0" w:firstLineChars="0"/>
              <w:jc w:val="left"/>
              <w:textAlignment w:val="auto"/>
              <w:rPr>
                <w:rFonts w:hint="default" w:ascii="Times New Roman" w:hAnsi="Times New Roman" w:eastAsia="方正仿宋_GBK" w:cs="Times New Roman"/>
                <w:szCs w:val="24"/>
                <w:highlight w:val="none"/>
              </w:rPr>
            </w:pPr>
            <w:r>
              <w:rPr>
                <w:rFonts w:hint="default" w:ascii="Times New Roman" w:hAnsi="Times New Roman" w:eastAsia="方正仿宋_GBK" w:cs="Times New Roman"/>
                <w:szCs w:val="24"/>
                <w:highlight w:val="none"/>
              </w:rPr>
              <w:t>12导：12×1、6×2、6×2+1R、3×4、3×4+1R、3×4+3R</w:t>
            </w:r>
          </w:p>
          <w:p>
            <w:pPr>
              <w:pStyle w:val="7"/>
              <w:keepNext w:val="0"/>
              <w:keepLines w:val="0"/>
              <w:pageBreakBefore w:val="0"/>
              <w:widowControl w:val="0"/>
              <w:kinsoku/>
              <w:wordWrap/>
              <w:overflowPunct/>
              <w:topLinePunct w:val="0"/>
              <w:autoSpaceDE/>
              <w:autoSpaceDN/>
              <w:bidi w:val="0"/>
              <w:adjustRightInd/>
              <w:snapToGrid/>
              <w:spacing w:after="0" w:line="240" w:lineRule="auto"/>
              <w:ind w:left="420" w:firstLine="0" w:firstLineChars="0"/>
              <w:jc w:val="left"/>
              <w:textAlignment w:val="auto"/>
              <w:rPr>
                <w:rFonts w:hint="eastAsia" w:ascii="Times New Roman" w:hAnsi="Times New Roman" w:eastAsia="方正仿宋_GBK" w:cs="Times New Roman"/>
                <w:szCs w:val="24"/>
                <w:highlight w:val="none"/>
                <w:lang w:eastAsia="zh-CN"/>
              </w:rPr>
            </w:pPr>
            <w:r>
              <w:rPr>
                <w:rFonts w:hint="default" w:ascii="Times New Roman" w:hAnsi="Times New Roman" w:eastAsia="方正仿宋_GBK" w:cs="Times New Roman"/>
                <w:szCs w:val="24"/>
                <w:highlight w:val="none"/>
              </w:rPr>
              <w:t>9导：9×1、3×3、3×3+1R、3×3+3R、6+3</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7、</w:t>
            </w:r>
            <w:r>
              <w:rPr>
                <w:rFonts w:hint="default" w:ascii="Times New Roman" w:hAnsi="Times New Roman" w:eastAsia="方正仿宋_GBK" w:cs="Times New Roman"/>
                <w:szCs w:val="24"/>
                <w:highlight w:val="none"/>
              </w:rPr>
              <w:t>记录方式：热点阵打印系统，可外接USB打印机</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8、</w:t>
            </w:r>
            <w:r>
              <w:rPr>
                <w:rFonts w:hint="default" w:ascii="Times New Roman" w:hAnsi="Times New Roman" w:eastAsia="方正仿宋_GBK" w:cs="Times New Roman"/>
                <w:szCs w:val="24"/>
                <w:highlight w:val="none"/>
              </w:rPr>
              <w:t>抗干扰滤波：交流滤波、基线漂移滤波、肌电滤波、低通滤波多种滤波器可选，确保心电信号的稳定，提高心电图的诊断准确性</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9、</w:t>
            </w:r>
            <w:r>
              <w:rPr>
                <w:rFonts w:hint="default" w:ascii="Times New Roman" w:hAnsi="Times New Roman" w:eastAsia="方正仿宋_GBK" w:cs="Times New Roman"/>
                <w:szCs w:val="24"/>
                <w:highlight w:val="none"/>
              </w:rPr>
              <w:t>测量参数：HR心率、P时限、PR间期、QRS时限、QT/QTC间期、P/QRS/T电轴、V5/SV1振幅等测量参数及自动诊断结论，减轻医生工作负担</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10、</w:t>
            </w:r>
            <w:r>
              <w:rPr>
                <w:rFonts w:hint="default" w:ascii="Times New Roman" w:hAnsi="Times New Roman" w:eastAsia="方正仿宋_GBK" w:cs="Times New Roman"/>
                <w:szCs w:val="24"/>
                <w:highlight w:val="none"/>
              </w:rPr>
              <w:t>输入电路：浮地输入，具有抗除颤效应防护电路</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11、</w:t>
            </w:r>
            <w:r>
              <w:rPr>
                <w:rFonts w:hint="default" w:ascii="Times New Roman" w:hAnsi="Times New Roman" w:eastAsia="方正仿宋_GBK" w:cs="Times New Roman"/>
                <w:szCs w:val="24"/>
                <w:highlight w:val="none"/>
              </w:rPr>
              <w:t>通讯方式：支持有线、无线联网</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12、</w:t>
            </w:r>
            <w:r>
              <w:rPr>
                <w:rFonts w:hint="default" w:ascii="Times New Roman" w:hAnsi="Times New Roman" w:eastAsia="方正仿宋_GBK" w:cs="Times New Roman"/>
                <w:szCs w:val="24"/>
                <w:highlight w:val="none"/>
              </w:rPr>
              <w:t>传输协议：支持FTP等传输协议</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13、</w:t>
            </w:r>
            <w:r>
              <w:rPr>
                <w:rFonts w:hint="default" w:ascii="Times New Roman" w:hAnsi="Times New Roman" w:eastAsia="方正仿宋_GBK" w:cs="Times New Roman"/>
                <w:szCs w:val="24"/>
                <w:highlight w:val="none"/>
              </w:rPr>
              <w:t>异常报警功能：可自动对导联脱落、电池电量低、缺纸等情况进行实时监测报警</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14、</w:t>
            </w:r>
            <w:r>
              <w:rPr>
                <w:rFonts w:hint="default" w:ascii="Times New Roman" w:hAnsi="Times New Roman" w:eastAsia="方正仿宋_GBK" w:cs="Times New Roman"/>
                <w:szCs w:val="24"/>
                <w:highlight w:val="none"/>
              </w:rPr>
              <w:t>支持起搏检测功能</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15、</w:t>
            </w:r>
            <w:r>
              <w:rPr>
                <w:rFonts w:hint="default" w:ascii="Times New Roman" w:hAnsi="Times New Roman" w:eastAsia="方正仿宋_GBK" w:cs="Times New Roman"/>
                <w:szCs w:val="24"/>
                <w:highlight w:val="none"/>
              </w:rPr>
              <w:t>支持波形冻结与波形回顾功能</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16、</w:t>
            </w:r>
            <w:r>
              <w:rPr>
                <w:rFonts w:hint="default" w:ascii="Times New Roman" w:hAnsi="Times New Roman" w:eastAsia="方正仿宋_GBK" w:cs="Times New Roman"/>
                <w:szCs w:val="24"/>
                <w:highlight w:val="none"/>
              </w:rPr>
              <w:t>患者信息录入：手动输入、条码扫描输入、预约检查</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default" w:ascii="Times New Roman" w:hAnsi="Times New Roman" w:eastAsia="方正仿宋_GBK" w:cs="Times New Roman"/>
                <w:szCs w:val="24"/>
                <w:highlight w:val="none"/>
              </w:rPr>
            </w:pPr>
            <w:r>
              <w:rPr>
                <w:rFonts w:hint="eastAsia" w:ascii="Times New Roman" w:hAnsi="Times New Roman" w:eastAsia="方正仿宋_GBK" w:cs="Times New Roman"/>
                <w:szCs w:val="24"/>
                <w:highlight w:val="none"/>
                <w:lang w:val="en-US" w:eastAsia="zh-CN"/>
              </w:rPr>
              <w:t>17、</w:t>
            </w:r>
            <w:r>
              <w:rPr>
                <w:rFonts w:hint="default" w:ascii="Times New Roman" w:hAnsi="Times New Roman" w:eastAsia="方正仿宋_GBK" w:cs="Times New Roman"/>
                <w:szCs w:val="24"/>
                <w:highlight w:val="none"/>
              </w:rPr>
              <w:t>供电模式，交直流两用：</w:t>
            </w:r>
          </w:p>
          <w:p>
            <w:pPr>
              <w:pStyle w:val="7"/>
              <w:keepNext w:val="0"/>
              <w:keepLines w:val="0"/>
              <w:pageBreakBefore w:val="0"/>
              <w:widowControl w:val="0"/>
              <w:kinsoku/>
              <w:wordWrap/>
              <w:overflowPunct/>
              <w:topLinePunct w:val="0"/>
              <w:autoSpaceDE/>
              <w:autoSpaceDN/>
              <w:bidi w:val="0"/>
              <w:adjustRightInd/>
              <w:snapToGrid/>
              <w:spacing w:after="0" w:line="240" w:lineRule="auto"/>
              <w:ind w:left="420" w:firstLine="0" w:firstLineChars="0"/>
              <w:jc w:val="left"/>
              <w:textAlignment w:val="auto"/>
              <w:rPr>
                <w:rFonts w:hint="default" w:ascii="Times New Roman" w:hAnsi="Times New Roman" w:eastAsia="方正仿宋_GBK" w:cs="Times New Roman"/>
                <w:szCs w:val="24"/>
                <w:highlight w:val="none"/>
              </w:rPr>
            </w:pPr>
            <w:r>
              <w:rPr>
                <w:rFonts w:hint="default" w:ascii="Times New Roman" w:hAnsi="Times New Roman" w:eastAsia="方正仿宋_GBK" w:cs="Times New Roman"/>
                <w:szCs w:val="24"/>
                <w:highlight w:val="none"/>
              </w:rPr>
              <w:t>交流电源：AC 100V～240V，50Hz/60Hz，70VA</w:t>
            </w:r>
          </w:p>
          <w:p>
            <w:pPr>
              <w:pStyle w:val="7"/>
              <w:keepNext w:val="0"/>
              <w:keepLines w:val="0"/>
              <w:pageBreakBefore w:val="0"/>
              <w:widowControl w:val="0"/>
              <w:kinsoku/>
              <w:wordWrap/>
              <w:overflowPunct/>
              <w:topLinePunct w:val="0"/>
              <w:autoSpaceDE/>
              <w:autoSpaceDN/>
              <w:bidi w:val="0"/>
              <w:adjustRightInd/>
              <w:snapToGrid/>
              <w:spacing w:after="0" w:line="240" w:lineRule="auto"/>
              <w:ind w:left="420" w:firstLine="0" w:firstLineChars="0"/>
              <w:jc w:val="left"/>
              <w:textAlignment w:val="auto"/>
              <w:rPr>
                <w:rFonts w:hint="eastAsia" w:ascii="Times New Roman" w:hAnsi="Times New Roman" w:eastAsia="方正仿宋_GBK" w:cs="Times New Roman"/>
                <w:szCs w:val="24"/>
                <w:highlight w:val="none"/>
                <w:lang w:eastAsia="zh-CN"/>
              </w:rPr>
            </w:pPr>
            <w:r>
              <w:rPr>
                <w:rFonts w:hint="default" w:ascii="Times New Roman" w:hAnsi="Times New Roman" w:eastAsia="方正仿宋_GBK" w:cs="Times New Roman"/>
                <w:szCs w:val="24"/>
                <w:highlight w:val="none"/>
              </w:rPr>
              <w:t>内部电源：可充电池，可连续工作时间</w:t>
            </w:r>
            <w:r>
              <w:rPr>
                <w:rFonts w:hint="default" w:ascii="Times New Roman" w:hAnsi="Times New Roman" w:eastAsia="方正仿宋_GBK" w:cs="Times New Roman"/>
                <w:szCs w:val="24"/>
                <w:highlight w:val="none"/>
                <w:lang w:val="en-US" w:eastAsia="zh-CN"/>
              </w:rPr>
              <w:t>≥</w:t>
            </w:r>
            <w:r>
              <w:rPr>
                <w:rFonts w:hint="default" w:ascii="Times New Roman" w:hAnsi="Times New Roman" w:eastAsia="方正仿宋_GBK" w:cs="Times New Roman"/>
                <w:szCs w:val="24"/>
                <w:highlight w:val="none"/>
              </w:rPr>
              <w:t>8小时</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18、</w:t>
            </w:r>
            <w:r>
              <w:rPr>
                <w:rFonts w:hint="default" w:ascii="Times New Roman" w:hAnsi="Times New Roman" w:eastAsia="方正仿宋_GBK" w:cs="Times New Roman"/>
                <w:szCs w:val="24"/>
                <w:highlight w:val="none"/>
              </w:rPr>
              <w:t>采样率：32KHz</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19、</w:t>
            </w:r>
            <w:r>
              <w:rPr>
                <w:rFonts w:hint="default" w:ascii="Times New Roman" w:hAnsi="Times New Roman" w:eastAsia="方正仿宋_GBK" w:cs="Times New Roman"/>
                <w:szCs w:val="24"/>
                <w:highlight w:val="none"/>
              </w:rPr>
              <w:t>A/D转换：24位</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20、</w:t>
            </w:r>
            <w:r>
              <w:rPr>
                <w:rFonts w:hint="default" w:ascii="Times New Roman" w:hAnsi="Times New Roman" w:eastAsia="方正仿宋_GBK" w:cs="Times New Roman"/>
                <w:szCs w:val="24"/>
                <w:highlight w:val="none"/>
              </w:rPr>
              <w:t>共模抑制比：≥120dB</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21、</w:t>
            </w:r>
            <w:r>
              <w:rPr>
                <w:rFonts w:hint="default" w:ascii="Times New Roman" w:hAnsi="Times New Roman" w:eastAsia="方正仿宋_GBK" w:cs="Times New Roman"/>
                <w:szCs w:val="24"/>
                <w:highlight w:val="none"/>
              </w:rPr>
              <w:t>输入回路电流：≤0.1μA</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22、</w:t>
            </w:r>
            <w:r>
              <w:rPr>
                <w:rFonts w:hint="default" w:ascii="Times New Roman" w:hAnsi="Times New Roman" w:eastAsia="方正仿宋_GBK" w:cs="Times New Roman"/>
                <w:szCs w:val="24"/>
                <w:highlight w:val="none"/>
              </w:rPr>
              <w:t>输入阻抗：＞70MΩ</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23、</w:t>
            </w:r>
            <w:r>
              <w:rPr>
                <w:rFonts w:hint="default" w:ascii="Times New Roman" w:hAnsi="Times New Roman" w:eastAsia="方正仿宋_GBK" w:cs="Times New Roman"/>
                <w:szCs w:val="24"/>
                <w:highlight w:val="none"/>
              </w:rPr>
              <w:t>患者漏电流：＜10μA</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/24.</w:t>
            </w:r>
            <w:r>
              <w:rPr>
                <w:rFonts w:hint="default" w:ascii="Times New Roman" w:hAnsi="Times New Roman" w:eastAsia="方正仿宋_GBK" w:cs="Times New Roman"/>
                <w:szCs w:val="24"/>
                <w:highlight w:val="none"/>
              </w:rPr>
              <w:t>时间常数：≥8s</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25、</w:t>
            </w:r>
            <w:r>
              <w:rPr>
                <w:rFonts w:hint="default" w:ascii="Times New Roman" w:hAnsi="Times New Roman" w:eastAsia="方正仿宋_GBK" w:cs="Times New Roman"/>
                <w:szCs w:val="24"/>
                <w:highlight w:val="none"/>
              </w:rPr>
              <w:t>幅度频率特性(频率响应)：0.01～320Hz</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26、</w:t>
            </w:r>
            <w:r>
              <w:rPr>
                <w:rFonts w:hint="default" w:ascii="Times New Roman" w:hAnsi="Times New Roman" w:eastAsia="方正仿宋_GBK" w:cs="Times New Roman"/>
                <w:szCs w:val="24"/>
                <w:highlight w:val="none"/>
              </w:rPr>
              <w:t>耐极化电压：±800mV</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27、</w:t>
            </w:r>
            <w:r>
              <w:rPr>
                <w:rFonts w:hint="default" w:ascii="Times New Roman" w:hAnsi="Times New Roman" w:eastAsia="方正仿宋_GBK" w:cs="Times New Roman"/>
                <w:szCs w:val="24"/>
                <w:highlight w:val="none"/>
              </w:rPr>
              <w:t>噪声电平：＜12.5μV峰峰值</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28、</w:t>
            </w:r>
            <w:r>
              <w:rPr>
                <w:rFonts w:hint="default" w:ascii="Times New Roman" w:hAnsi="Times New Roman" w:eastAsia="方正仿宋_GBK" w:cs="Times New Roman"/>
                <w:szCs w:val="24"/>
                <w:highlight w:val="none"/>
              </w:rPr>
              <w:t>灵敏阈：≤20μV</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29、</w:t>
            </w:r>
            <w:r>
              <w:rPr>
                <w:rFonts w:hint="default" w:ascii="Times New Roman" w:hAnsi="Times New Roman" w:eastAsia="方正仿宋_GBK" w:cs="Times New Roman"/>
                <w:szCs w:val="24"/>
                <w:highlight w:val="none"/>
              </w:rPr>
              <w:t>定标电压：1mV±2%</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30、</w:t>
            </w:r>
            <w:r>
              <w:rPr>
                <w:rFonts w:hint="default" w:ascii="Times New Roman" w:hAnsi="Times New Roman" w:eastAsia="方正仿宋_GBK" w:cs="Times New Roman"/>
                <w:szCs w:val="24"/>
                <w:highlight w:val="none"/>
              </w:rPr>
              <w:t>增益：2.5、5、10、20、40、10/5、20/10、AGCmm/mV</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31、</w:t>
            </w:r>
            <w:r>
              <w:rPr>
                <w:rFonts w:hint="default" w:ascii="Times New Roman" w:hAnsi="Times New Roman" w:eastAsia="方正仿宋_GBK" w:cs="Times New Roman"/>
                <w:szCs w:val="24"/>
                <w:highlight w:val="none"/>
              </w:rPr>
              <w:t>走纸速度：5、6.25、10、12.5、25、50mm/s</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szCs w:val="24"/>
                <w:highlight w:val="none"/>
                <w:lang w:eastAsia="zh-CN"/>
              </w:rPr>
            </w:pPr>
            <w:r>
              <w:rPr>
                <w:rFonts w:hint="eastAsia" w:ascii="Times New Roman" w:hAnsi="Times New Roman" w:eastAsia="方正仿宋_GBK" w:cs="Times New Roman"/>
                <w:szCs w:val="24"/>
                <w:highlight w:val="none"/>
                <w:lang w:val="en-US" w:eastAsia="zh-CN"/>
              </w:rPr>
              <w:t>32、</w:t>
            </w:r>
            <w:r>
              <w:rPr>
                <w:rFonts w:hint="default" w:ascii="Times New Roman" w:hAnsi="Times New Roman" w:eastAsia="方正仿宋_GBK" w:cs="Times New Roman"/>
                <w:szCs w:val="24"/>
                <w:highlight w:val="none"/>
              </w:rPr>
              <w:t>记录纸规格：折叠纸210mm×140mm-144P</w:t>
            </w:r>
            <w:r>
              <w:rPr>
                <w:rFonts w:hint="eastAsia" w:ascii="Times New Roman" w:hAnsi="Times New Roman" w:eastAsia="方正仿宋_GBK" w:cs="Times New Roman"/>
                <w:szCs w:val="24"/>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rPr>
                <w:rFonts w:hint="eastAsia" w:ascii="Times New Roman" w:hAnsi="Times New Roman" w:eastAsia="方正仿宋_GBK" w:cs="Times New Roman"/>
                <w:i w:val="0"/>
                <w:iCs w:val="0"/>
                <w:color w:val="0F1115"/>
                <w:kern w:val="0"/>
                <w:sz w:val="24"/>
                <w:szCs w:val="24"/>
                <w:highlight w:val="none"/>
                <w:u w:val="none"/>
                <w:lang w:val="en-US" w:eastAsia="zh-CN" w:bidi="ar"/>
              </w:rPr>
            </w:pPr>
            <w:r>
              <w:rPr>
                <w:rFonts w:hint="eastAsia" w:ascii="Times New Roman" w:hAnsi="Times New Roman" w:eastAsia="方正仿宋_GBK" w:cs="Times New Roman"/>
                <w:szCs w:val="24"/>
                <w:highlight w:val="none"/>
                <w:lang w:val="en-US" w:eastAsia="zh-CN"/>
              </w:rPr>
              <w:t>33、</w:t>
            </w:r>
            <w:r>
              <w:rPr>
                <w:rFonts w:hint="default" w:ascii="Times New Roman" w:hAnsi="Times New Roman" w:eastAsia="方正仿宋_GBK" w:cs="Times New Roman"/>
                <w:szCs w:val="24"/>
                <w:highlight w:val="none"/>
              </w:rPr>
              <w:t>产品使用寿命：≥10年</w:t>
            </w:r>
            <w:r>
              <w:rPr>
                <w:rFonts w:hint="default" w:ascii="Times New Roman" w:hAnsi="Times New Roman" w:eastAsia="方正仿宋_GBK" w:cs="Times New Roman"/>
                <w:szCs w:val="24"/>
                <w:highlight w:val="none"/>
                <w:lang w:val="en-US" w:eastAsia="zh-CN"/>
              </w:rPr>
              <w:t>,</w:t>
            </w:r>
            <w:r>
              <w:rPr>
                <w:rFonts w:hint="default" w:ascii="Times New Roman" w:hAnsi="Times New Roman" w:eastAsia="方正仿宋_GBK" w:cs="Times New Roman"/>
                <w:sz w:val="21"/>
                <w:szCs w:val="24"/>
                <w:highlight w:val="none"/>
              </w:rPr>
              <w:t>具有常规心电图参数自动测量、自动分析功能，能对心电波群进行形态和节律分析</w:t>
            </w:r>
            <w:r>
              <w:rPr>
                <w:rFonts w:hint="eastAsia" w:ascii="Times New Roman" w:hAnsi="Times New Roman" w:eastAsia="方正仿宋_GBK" w:cs="Times New Roman"/>
                <w:sz w:val="21"/>
                <w:szCs w:val="24"/>
                <w:highlight w:val="none"/>
                <w:lang w:eastAsia="zh-CN"/>
              </w:rPr>
              <w:t>。</w:t>
            </w:r>
          </w:p>
        </w:tc>
      </w:tr>
    </w:tbl>
    <w:p>
      <w:pPr>
        <w:pStyle w:val="2"/>
        <w:numPr>
          <w:ilvl w:val="0"/>
          <w:numId w:val="0"/>
        </w:numPr>
        <w:rPr>
          <w:rFonts w:hint="default"/>
          <w:highlight w:val="none"/>
          <w:lang w:val="en-US" w:eastAsia="zh-CN"/>
        </w:rPr>
      </w:pPr>
    </w:p>
    <w:p>
      <w:pPr>
        <w:spacing w:after="0" w:line="570" w:lineRule="atLeast"/>
        <w:rPr>
          <w:rFonts w:hint="default" w:ascii="Times New Roman" w:hAnsi="Times New Roman" w:cs="Times New Roman"/>
          <w:highlight w:val="none"/>
          <w:lang w:val="en-US" w:eastAsia="zh-CN"/>
        </w:rPr>
      </w:pPr>
    </w:p>
    <w:p>
      <w:pPr>
        <w:spacing w:line="570" w:lineRule="atLeast"/>
        <w:rPr>
          <w:rFonts w:ascii="Times New Roman" w:hAnsi="Times New Roman" w:cs="Times New Roman"/>
          <w:highlight w:val="none"/>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实质性要求，供应商应全部满足</w:t>
      </w:r>
      <w:r>
        <w:rPr>
          <w:rFonts w:hint="eastAsia" w:ascii="仿宋" w:hAnsi="仿宋" w:eastAsia="仿宋" w:cs="宋体"/>
          <w:b/>
          <w:bCs/>
          <w:color w:val="auto"/>
          <w:kern w:val="0"/>
          <w:sz w:val="24"/>
          <w:highlight w:val="none"/>
        </w:rPr>
        <w:t>。</w:t>
      </w:r>
    </w:p>
    <w:p>
      <w:pPr>
        <w:spacing w:line="570" w:lineRule="atLeast"/>
        <w:rPr>
          <w:rFonts w:ascii="Times New Roman" w:hAnsi="Times New Roman" w:cs="Times New Roman"/>
          <w:highlight w:val="none"/>
        </w:rPr>
      </w:pPr>
    </w:p>
    <w:p>
      <w:pPr>
        <w:pStyle w:val="2"/>
        <w:spacing w:line="570" w:lineRule="atLeast"/>
        <w:rPr>
          <w:highlight w:val="none"/>
        </w:rPr>
      </w:pPr>
    </w:p>
    <w:p>
      <w:pPr>
        <w:pStyle w:val="2"/>
        <w:spacing w:line="570" w:lineRule="atLeast"/>
        <w:rPr>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r>
        <w:rPr>
          <w:rFonts w:ascii="Times New Roman" w:hAnsi="Times New Roman" w:eastAsia="方正小标宋_GBK" w:cs="Times New Roman"/>
          <w:color w:val="333333"/>
          <w:kern w:val="0"/>
          <w:sz w:val="32"/>
          <w:szCs w:val="32"/>
          <w:highlight w:val="none"/>
        </w:rPr>
        <w:t>报价表</w:t>
      </w:r>
    </w:p>
    <w:tbl>
      <w:tblPr>
        <w:tblStyle w:val="4"/>
        <w:tblW w:w="8287" w:type="dxa"/>
        <w:tblInd w:w="5" w:type="dxa"/>
        <w:shd w:val="clear" w:color="auto" w:fill="FFFFFF"/>
        <w:tblLayout w:type="fixed"/>
        <w:tblCellMar>
          <w:top w:w="0" w:type="dxa"/>
          <w:left w:w="0" w:type="dxa"/>
          <w:bottom w:w="0" w:type="dxa"/>
          <w:right w:w="0" w:type="dxa"/>
        </w:tblCellMar>
      </w:tblPr>
      <w:tblGrid>
        <w:gridCol w:w="750"/>
        <w:gridCol w:w="1196"/>
        <w:gridCol w:w="1504"/>
        <w:gridCol w:w="1450"/>
        <w:gridCol w:w="712"/>
        <w:gridCol w:w="1250"/>
        <w:gridCol w:w="1425"/>
      </w:tblGrid>
      <w:tr>
        <w:tblPrEx>
          <w:tblLayout w:type="fixed"/>
          <w:tblCellMar>
            <w:top w:w="0" w:type="dxa"/>
            <w:left w:w="0" w:type="dxa"/>
            <w:bottom w:w="0" w:type="dxa"/>
            <w:right w:w="0" w:type="dxa"/>
          </w:tblCellMar>
        </w:tblPrEx>
        <w:trPr>
          <w:trHeight w:val="73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序号</w:t>
            </w:r>
          </w:p>
        </w:tc>
        <w:tc>
          <w:tcPr>
            <w:tcW w:w="119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产品</w:t>
            </w:r>
          </w:p>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名称</w:t>
            </w:r>
          </w:p>
        </w:tc>
        <w:tc>
          <w:tcPr>
            <w:tcW w:w="150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品牌</w:t>
            </w:r>
          </w:p>
        </w:tc>
        <w:tc>
          <w:tcPr>
            <w:tcW w:w="145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型号</w:t>
            </w:r>
          </w:p>
        </w:tc>
        <w:tc>
          <w:tcPr>
            <w:tcW w:w="71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数量</w:t>
            </w:r>
          </w:p>
        </w:tc>
        <w:tc>
          <w:tcPr>
            <w:tcW w:w="125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单价（元）</w:t>
            </w:r>
          </w:p>
        </w:tc>
        <w:tc>
          <w:tcPr>
            <w:tcW w:w="142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总价（元）</w:t>
            </w:r>
          </w:p>
        </w:tc>
      </w:tr>
      <w:tr>
        <w:tblPrEx>
          <w:shd w:val="clear" w:color="auto" w:fill="FFFFFF"/>
          <w:tblLayout w:type="fixed"/>
          <w:tblCellMar>
            <w:top w:w="0" w:type="dxa"/>
            <w:left w:w="0" w:type="dxa"/>
            <w:bottom w:w="0" w:type="dxa"/>
            <w:right w:w="0" w:type="dxa"/>
          </w:tblCellMar>
        </w:tblPrEx>
        <w:trPr>
          <w:trHeight w:val="330" w:hRule="atLeast"/>
        </w:trPr>
        <w:tc>
          <w:tcPr>
            <w:tcW w:w="75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1</w:t>
            </w:r>
          </w:p>
        </w:tc>
        <w:tc>
          <w:tcPr>
            <w:tcW w:w="11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5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7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2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r>
      <w:tr>
        <w:tblPrEx>
          <w:tblLayout w:type="fixed"/>
          <w:tblCellMar>
            <w:top w:w="0" w:type="dxa"/>
            <w:left w:w="0" w:type="dxa"/>
            <w:bottom w:w="0" w:type="dxa"/>
            <w:right w:w="0" w:type="dxa"/>
          </w:tblCellMar>
        </w:tblPrEx>
        <w:trPr>
          <w:trHeight w:val="390" w:hRule="atLeast"/>
        </w:trPr>
        <w:tc>
          <w:tcPr>
            <w:tcW w:w="75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2</w:t>
            </w:r>
          </w:p>
        </w:tc>
        <w:tc>
          <w:tcPr>
            <w:tcW w:w="1196"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504"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5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712"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25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25"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r>
      <w:tr>
        <w:tblPrEx>
          <w:shd w:val="clear" w:color="auto" w:fill="FFFFFF"/>
          <w:tblLayout w:type="fixed"/>
          <w:tblCellMar>
            <w:top w:w="0" w:type="dxa"/>
            <w:left w:w="0" w:type="dxa"/>
            <w:bottom w:w="0" w:type="dxa"/>
            <w:right w:w="0" w:type="dxa"/>
          </w:tblCellMar>
        </w:tblPrEx>
        <w:trPr>
          <w:trHeight w:val="390" w:hRule="atLeast"/>
        </w:trPr>
        <w:tc>
          <w:tcPr>
            <w:tcW w:w="4900" w:type="dxa"/>
            <w:gridSpan w:val="4"/>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合计</w:t>
            </w:r>
          </w:p>
        </w:tc>
        <w:tc>
          <w:tcPr>
            <w:tcW w:w="3387" w:type="dxa"/>
            <w:gridSpan w:val="3"/>
            <w:tcBorders>
              <w:top w:val="single" w:color="auto" w:sz="4"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元</w:t>
            </w:r>
          </w:p>
        </w:tc>
      </w:tr>
    </w:tbl>
    <w:p>
      <w:pPr>
        <w:tabs>
          <w:tab w:val="left" w:pos="2142"/>
        </w:tabs>
        <w:spacing w:line="570" w:lineRule="atLeast"/>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注：</w:t>
      </w:r>
    </w:p>
    <w:p>
      <w:pPr>
        <w:tabs>
          <w:tab w:val="left" w:pos="2142"/>
        </w:tabs>
        <w:spacing w:line="570" w:lineRule="atLeas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1.报价应是最终用户验收合格后的总价，包括设备运输、保险、代理、安装调试、培训、税费、系统集成费用和采购文件规定的其</w:t>
      </w:r>
      <w:r>
        <w:rPr>
          <w:rFonts w:hint="eastAsia" w:ascii="Times New Roman" w:hAnsi="Times New Roman" w:eastAsia="方正仿宋_GBK" w:cs="Times New Roman"/>
          <w:sz w:val="28"/>
          <w:szCs w:val="28"/>
          <w:highlight w:val="none"/>
          <w:lang w:val="en-US" w:eastAsia="zh-CN"/>
        </w:rPr>
        <w:t>他</w:t>
      </w:r>
      <w:r>
        <w:rPr>
          <w:rFonts w:ascii="Times New Roman" w:hAnsi="Times New Roman" w:eastAsia="方正仿宋_GBK" w:cs="Times New Roman"/>
          <w:sz w:val="28"/>
          <w:szCs w:val="28"/>
          <w:highlight w:val="none"/>
        </w:rPr>
        <w:t>费用。</w:t>
      </w:r>
    </w:p>
    <w:p>
      <w:pPr>
        <w:tabs>
          <w:tab w:val="left" w:pos="2142"/>
        </w:tabs>
        <w:spacing w:line="570" w:lineRule="atLeast"/>
        <w:ind w:firstLine="562" w:firstLineChars="200"/>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2.“品目及报价表”为多页的，每页均需由法定代表人或授权代表签字并盖投标人印章。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供应商名称：（盖章）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法定代表人或授权代表（签字）：</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日期：</w:t>
      </w:r>
    </w:p>
    <w:p>
      <w:pPr>
        <w:spacing w:line="570" w:lineRule="atLeast"/>
        <w:jc w:val="center"/>
        <w:rPr>
          <w:rFonts w:ascii="Times New Roman" w:hAnsi="Times New Roman" w:eastAsia="方正小标宋_GBK" w:cs="Times New Roman"/>
          <w:b/>
          <w:bCs/>
          <w:sz w:val="28"/>
          <w:szCs w:val="28"/>
          <w:highlight w:val="none"/>
        </w:rPr>
      </w:pPr>
    </w:p>
    <w:p>
      <w:pPr>
        <w:pStyle w:val="2"/>
        <w:spacing w:line="570" w:lineRule="atLeast"/>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tabs>
          <w:tab w:val="left" w:pos="6300"/>
        </w:tabs>
        <w:spacing w:line="570" w:lineRule="atLeas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响应表</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序号</w:t>
            </w: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文件要求</w:t>
            </w: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响应文件响应</w:t>
            </w: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bl>
    <w:p>
      <w:pPr>
        <w:tabs>
          <w:tab w:val="left" w:pos="6300"/>
        </w:tabs>
        <w:spacing w:line="570" w:lineRule="atLeast"/>
        <w:ind w:firstLine="573"/>
        <w:rPr>
          <w:rFonts w:ascii="Times New Roman" w:hAnsi="Times New Roman" w:eastAsia="方正仿宋_GBK" w:cs="Times New Roman"/>
          <w:sz w:val="24"/>
          <w:highlight w:val="none"/>
        </w:rPr>
      </w:pP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注意：竞标人必须据实填写，不得虚假响应，虚假响应的，其响应文件无效并按规定追究其相关责任</w:t>
      </w:r>
      <w:r>
        <w:rPr>
          <w:rFonts w:hint="eastAsia" w:ascii="Times New Roman" w:hAnsi="Times New Roman" w:eastAsia="方正仿宋_GBK" w:cs="Times New Roman"/>
          <w:b/>
          <w:bCs/>
          <w:sz w:val="24"/>
          <w:highlight w:val="none"/>
          <w:lang w:eastAsia="zh-CN"/>
        </w:rPr>
        <w:t>（</w:t>
      </w:r>
      <w:r>
        <w:rPr>
          <w:rFonts w:hint="eastAsia" w:ascii="Times New Roman" w:hAnsi="Times New Roman" w:eastAsia="方正仿宋_GBK" w:cs="Times New Roman"/>
          <w:b/>
          <w:bCs/>
          <w:sz w:val="24"/>
          <w:highlight w:val="none"/>
          <w:lang w:val="en-US" w:eastAsia="zh-CN"/>
        </w:rPr>
        <w:t>响应表包含商务服务要求、技术参数要求</w:t>
      </w:r>
      <w:r>
        <w:rPr>
          <w:rFonts w:hint="eastAsia" w:ascii="Times New Roman" w:hAnsi="Times New Roman" w:eastAsia="方正仿宋_GBK" w:cs="Times New Roman"/>
          <w:b/>
          <w:bCs/>
          <w:sz w:val="24"/>
          <w:highlight w:val="none"/>
          <w:lang w:eastAsia="zh-CN"/>
        </w:rPr>
        <w:t>）</w:t>
      </w:r>
      <w:r>
        <w:rPr>
          <w:rFonts w:ascii="Times New Roman" w:hAnsi="Times New Roman" w:eastAsia="方正仿宋_GBK" w:cs="Times New Roman"/>
          <w:sz w:val="24"/>
          <w:highlight w:val="none"/>
        </w:rPr>
        <w:t>。</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333333"/>
          <w:kern w:val="0"/>
          <w:sz w:val="24"/>
          <w:highlight w:val="none"/>
        </w:rPr>
        <w:t>投标人</w:t>
      </w:r>
      <w:r>
        <w:rPr>
          <w:rFonts w:ascii="Times New Roman" w:hAnsi="Times New Roman" w:eastAsia="方正仿宋_GBK" w:cs="Times New Roman"/>
          <w:sz w:val="24"/>
          <w:highlight w:val="none"/>
        </w:rPr>
        <w:t>名称（加盖公章）：XXX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法定代表人或单位负责人或授权代表（签字或盖章）：XXX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 期：XXX年XXX月XXX日</w:t>
      </w:r>
    </w:p>
    <w:p>
      <w:pPr>
        <w:spacing w:line="570" w:lineRule="atLeast"/>
        <w:jc w:val="center"/>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质量保证书</w:t>
      </w:r>
    </w:p>
    <w:p>
      <w:pPr>
        <w:spacing w:line="570" w:lineRule="atLeast"/>
        <w:ind w:firstLine="360" w:firstLineChars="150"/>
        <w:rPr>
          <w:rFonts w:ascii="Times New Roman" w:hAnsi="Times New Roman" w:eastAsia="方正仿宋_GBK" w:cs="Times New Roman"/>
          <w:sz w:val="24"/>
          <w:highlight w:val="none"/>
          <w:u w:val="single"/>
        </w:rPr>
      </w:pPr>
      <w:r>
        <w:rPr>
          <w:rFonts w:ascii="Times New Roman" w:hAnsi="Times New Roman" w:eastAsia="方正仿宋_GBK" w:cs="Times New Roman"/>
          <w:sz w:val="24"/>
          <w:highlight w:val="none"/>
          <w:u w:val="single"/>
        </w:rPr>
        <w:t xml:space="preserve">           ：</w:t>
      </w:r>
    </w:p>
    <w:p>
      <w:pPr>
        <w:spacing w:line="570" w:lineRule="atLeast"/>
        <w:ind w:firstLine="630"/>
        <w:jc w:val="lef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w:t>
      </w:r>
      <w:r>
        <w:rPr>
          <w:rFonts w:ascii="Times New Roman" w:hAnsi="Times New Roman" w:eastAsia="方正仿宋_GBK" w:cs="Times New Roman"/>
          <w:b/>
          <w:bCs/>
          <w:sz w:val="24"/>
          <w:highlight w:val="none"/>
        </w:rPr>
        <w:t>制造商家名称</w:t>
      </w:r>
      <w:r>
        <w:rPr>
          <w:rFonts w:ascii="Times New Roman" w:hAnsi="Times New Roman" w:eastAsia="方正仿宋_GBK" w:cs="Times New Roman"/>
          <w:sz w:val="24"/>
          <w:highlight w:val="none"/>
        </w:rPr>
        <w:t>）是在</w:t>
      </w: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（国名）依法登记注册的，其地址现在</w:t>
      </w: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。其主要营业地点现在</w:t>
      </w: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w:t>
      </w:r>
    </w:p>
    <w:p>
      <w:pPr>
        <w:pStyle w:val="3"/>
        <w:spacing w:after="0" w:line="570" w:lineRule="atLeast"/>
        <w:ind w:left="0" w:leftChars="0" w:firstLine="600" w:firstLineChars="25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作为供应商，我方承诺，为本次招标提供的货物为原厂制造、合法渠道供应的全新产品。我方保证以投标合作者来约束自己，并对该投标共同承担和分别承担招标文件中所规定的义务。</w:t>
      </w:r>
    </w:p>
    <w:p>
      <w:pPr>
        <w:spacing w:line="570" w:lineRule="atLeast"/>
        <w:ind w:firstLine="630"/>
        <w:rPr>
          <w:rFonts w:ascii="Times New Roman" w:hAnsi="Times New Roman" w:eastAsia="方正仿宋_GBK" w:cs="Times New Roman"/>
          <w:sz w:val="24"/>
          <w:highlight w:val="none"/>
        </w:rPr>
      </w:pP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供应商单位名称：       （盖章） </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供应商单位法定代表人或授权代表（签字）：        </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附：授权销售产品清单</w:t>
      </w:r>
    </w:p>
    <w:p>
      <w:pPr>
        <w:spacing w:line="570" w:lineRule="atLeast"/>
        <w:rPr>
          <w:rFonts w:ascii="Times New Roman" w:hAnsi="Times New Roman" w:eastAsia="方正仿宋_GBK" w:cs="Times New Roman"/>
          <w:sz w:val="22"/>
          <w:szCs w:val="22"/>
          <w:highlight w:val="none"/>
        </w:rPr>
      </w:pPr>
      <w:bookmarkStart w:id="0" w:name="_Toc174767233"/>
      <w:bookmarkStart w:id="1" w:name="_Toc237343703"/>
      <w:bookmarkStart w:id="2" w:name="_Toc95295163"/>
    </w:p>
    <w:p>
      <w:pPr>
        <w:spacing w:line="570" w:lineRule="atLeast"/>
        <w:rPr>
          <w:rFonts w:ascii="Times New Roman" w:hAnsi="Times New Roman" w:eastAsia="方正仿宋_GBK" w:cs="Times New Roman"/>
          <w:sz w:val="22"/>
          <w:szCs w:val="22"/>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法定代表人身份授权书</w:t>
      </w:r>
    </w:p>
    <w:p>
      <w:pPr>
        <w:spacing w:line="570" w:lineRule="atLeast"/>
        <w:rPr>
          <w:rFonts w:ascii="Times New Roman" w:hAnsi="Times New Roman" w:eastAsia="方正仿宋_GBK" w:cs="Times New Roman"/>
          <w:b/>
          <w:bCs/>
          <w:sz w:val="28"/>
          <w:szCs w:val="28"/>
          <w:highlight w:val="none"/>
        </w:rPr>
      </w:pPr>
    </w:p>
    <w:p>
      <w:pPr>
        <w:tabs>
          <w:tab w:val="left" w:pos="6300"/>
        </w:tabs>
        <w:spacing w:line="570" w:lineRule="atLeast"/>
        <w:rPr>
          <w:rFonts w:ascii="Times New Roman" w:hAnsi="Times New Roman" w:eastAsia="方正仿宋_GBK" w:cs="Times New Roman"/>
          <w:color w:val="000000"/>
          <w:sz w:val="24"/>
          <w:highlight w:val="none"/>
          <w:lang w:val="zh-CN"/>
        </w:rPr>
      </w:pP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（采购单位名称）：</w:t>
      </w:r>
    </w:p>
    <w:p>
      <w:pPr>
        <w:tabs>
          <w:tab w:val="left" w:pos="720"/>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000000"/>
          <w:sz w:val="24"/>
          <w:highlight w:val="none"/>
          <w:lang w:val="zh-CN"/>
        </w:rPr>
        <w:t xml:space="preserve">   本授权声明：</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（投标人名称）</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（法定代表人姓名、职务）授权</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（被授权人姓名、职务）为我方</w:t>
      </w:r>
      <w:r>
        <w:rPr>
          <w:rFonts w:ascii="Times New Roman" w:hAnsi="Times New Roman" w:eastAsia="方正仿宋_GBK" w:cs="Times New Roman"/>
          <w:color w:val="000000"/>
          <w:sz w:val="24"/>
          <w:highlight w:val="none"/>
          <w:u w:val="single"/>
          <w:lang w:val="zh-CN"/>
        </w:rPr>
        <w:t xml:space="preserve"> “                                          ”</w:t>
      </w:r>
      <w:r>
        <w:rPr>
          <w:rFonts w:ascii="Times New Roman" w:hAnsi="Times New Roman" w:eastAsia="方正仿宋_GBK" w:cs="Times New Roman"/>
          <w:color w:val="000000"/>
          <w:sz w:val="24"/>
          <w:highlight w:val="none"/>
          <w:lang w:val="zh-CN"/>
        </w:rPr>
        <w:t>项目投标活动的合法代表，以我方名义全权处理该项目有关投标、签订合同以及执行合同等一切事宜。</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特此声明。</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法定代表人签字：</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授权代表签字：</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投标人名称：</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 xml:space="preserve">      （加盖公章）</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    ★说明：上述证明文件附有法定代表人、被授权代表身份证复印件（加盖公章）时才能生效。</w:t>
      </w:r>
      <w:bookmarkEnd w:id="0"/>
      <w:bookmarkEnd w:id="1"/>
      <w:bookmarkEnd w:id="2"/>
    </w:p>
    <w:p>
      <w:pPr>
        <w:spacing w:line="570" w:lineRule="atLeast"/>
        <w:rPr>
          <w:rFonts w:ascii="Times New Roman" w:hAnsi="Times New Roman" w:eastAsia="方正仿宋_GBK" w:cs="Times New Roman"/>
          <w:highlight w:val="none"/>
        </w:rPr>
      </w:pPr>
    </w:p>
    <w:p>
      <w:pPr>
        <w:spacing w:after="120" w:line="570" w:lineRule="atLeast"/>
        <w:jc w:val="both"/>
        <w:rPr>
          <w:rFonts w:ascii="Times New Roman" w:hAnsi="Times New Roman" w:eastAsia="方正小标宋_GBK" w:cs="Times New Roman"/>
          <w:color w:val="000000"/>
          <w:sz w:val="28"/>
          <w:szCs w:val="22"/>
          <w:highlight w:val="none"/>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r>
        <w:rPr>
          <w:rFonts w:hint="default" w:ascii="Times New Roman" w:hAnsi="Times New Roman" w:eastAsia="方正小标宋_GBK" w:cs="Times New Roman"/>
          <w:color w:val="000000"/>
          <w:kern w:val="2"/>
          <w:sz w:val="28"/>
          <w:szCs w:val="22"/>
          <w:highlight w:val="none"/>
          <w:lang w:val="en-US" w:eastAsia="zh-CN" w:bidi="ar-SA"/>
        </w:rPr>
        <w:t>无围标、串标行为承诺书</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本公司郑重承诺：我公司自觉遵守《中华人民共和国政府采购法》和《中华人民共和国政府采购法实施条例》的有关规定，我公司在参加本次采购活动中，无以下围标、串标行为：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1.不同供应商的投标文件由同一单位或者个人编制；</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2.不同供应商委托同一单位或者个人办理投标事宜；</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3.不同供应商的投标文件载明的项目管理成员或者联系人员为同一人；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4.不同供应商的投标文件异常一致或者投标报价呈规律性差异；</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5.不同供应商的投标文件相互混装；</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6.不同供应商的投标保证金从同一单位或者个人的账户转出；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7.不同供应商的董事、监事、高管、单位负责人为同一人或者存在控股、管理关系的不同单位参加同一采购项目；</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8.供应商之间事先约定由某一特定供应商中标、成交；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9.供应商之间商定部分供应商放弃参加采购活动或者放弃中标、成交；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10.法律法规界定的其他围标串标行为。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投标人法人代表或委托代理人（承诺人） ：</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 xml:space="preserve">投标人：（公章）  </w:t>
      </w:r>
    </w:p>
    <w:p>
      <w:pPr>
        <w:widowControl/>
        <w:shd w:val="clear" w:color="auto" w:fill="FFFFFF"/>
        <w:wordWrap w:val="0"/>
        <w:spacing w:after="0" w:line="570" w:lineRule="atLeast"/>
        <w:ind w:firstLine="480" w:firstLineChars="200"/>
        <w:jc w:val="left"/>
      </w:pPr>
      <w:r>
        <w:rPr>
          <w:rFonts w:hint="default" w:ascii="Times New Roman" w:hAnsi="Times New Roman" w:eastAsia="方正仿宋_GBK" w:cs="Times New Roman"/>
          <w:color w:val="333333"/>
          <w:kern w:val="0"/>
          <w:sz w:val="24"/>
          <w:szCs w:val="24"/>
          <w:highlight w:val="none"/>
        </w:rPr>
        <w:t>日期：   年    月    日</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E0C949"/>
    <w:multiLevelType w:val="singleLevel"/>
    <w:tmpl w:val="D2E0C949"/>
    <w:lvl w:ilvl="0" w:tentative="0">
      <w:start w:val="3"/>
      <w:numFmt w:val="chineseCounting"/>
      <w:suff w:val="nothing"/>
      <w:lvlText w:val="（%1）"/>
      <w:lvlJc w:val="left"/>
      <w:rPr>
        <w:rFonts w:hint="eastAsia"/>
      </w:rPr>
    </w:lvl>
  </w:abstractNum>
  <w:abstractNum w:abstractNumId="1">
    <w:nsid w:val="F8CF27D6"/>
    <w:multiLevelType w:val="singleLevel"/>
    <w:tmpl w:val="F8CF27D6"/>
    <w:lvl w:ilvl="0" w:tentative="0">
      <w:start w:val="2"/>
      <w:numFmt w:val="chineseCounting"/>
      <w:lvlText w:val="(%1)"/>
      <w:lvlJc w:val="left"/>
      <w:pPr>
        <w:tabs>
          <w:tab w:val="left" w:pos="312"/>
        </w:tabs>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C42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szCs w:val="22"/>
    </w:rPr>
  </w:style>
  <w:style w:type="paragraph" w:styleId="3">
    <w:name w:val="Body Text Indent"/>
    <w:basedOn w:val="1"/>
    <w:qFormat/>
    <w:uiPriority w:val="99"/>
    <w:pPr>
      <w:spacing w:after="120"/>
      <w:ind w:left="420" w:leftChars="200"/>
    </w:pPr>
  </w:style>
  <w:style w:type="table" w:styleId="5">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styleId="7">
    <w:name w:val="List Paragraph"/>
    <w:basedOn w:val="1"/>
    <w:qFormat/>
    <w:uiPriority w:val="0"/>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2026-07-31T03:39:33Z</dcterms:created>
  <dc:creator>OS</dc:creator>
  <cp:lastModifiedBy>們泊冬吴@^_^</cp:lastModifiedBy>
  <dcterms:modified xsi:type="dcterms:W3CDTF">2026-07-31T03:40:50Z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