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lang w:val="en-US" w:eastAsia="zh-CN"/>
        </w:rPr>
      </w:pPr>
      <w:r>
        <w:rPr>
          <w:rFonts w:hint="default" w:ascii="Times New Roman" w:hAnsi="Times New Roman" w:eastAsia="方正小标宋_GBK" w:cs="Times New Roman"/>
          <w:color w:val="333333"/>
          <w:kern w:val="0"/>
          <w:sz w:val="32"/>
          <w:szCs w:val="32"/>
          <w:lang w:val="en-US" w:eastAsia="zh-CN"/>
        </w:rPr>
        <w:t>附件：</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r>
        <w:rPr>
          <w:rFonts w:hint="default" w:ascii="Times New Roman" w:hAnsi="Times New Roman" w:eastAsia="方正仿宋_GBK" w:cs="Times New Roman"/>
          <w:kern w:val="2"/>
          <w:sz w:val="28"/>
          <w:szCs w:val="28"/>
          <w:highlight w:val="none"/>
          <w:lang w:val="en-US" w:eastAsia="zh-CN" w:bidi="ar-SA"/>
          <w14:ligatures w14:val="standardContextual"/>
        </w:rPr>
        <w:t>成都市科技局科研项目实验试剂耗材</w:t>
      </w:r>
      <w:r>
        <w:rPr>
          <w:rFonts w:hint="eastAsia" w:eastAsia="方正仿宋_GBK" w:cs="Times New Roman"/>
          <w:kern w:val="2"/>
          <w:sz w:val="28"/>
          <w:szCs w:val="28"/>
          <w:highlight w:val="none"/>
          <w:lang w:val="en-US" w:eastAsia="zh-CN" w:bidi="ar-SA"/>
          <w14:ligatures w14:val="standardContextual"/>
        </w:rPr>
        <w:t>采购项目</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6</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pStyle w:val="2"/>
        <w:spacing w:after="0" w:line="570" w:lineRule="atLeast"/>
        <w:rPr>
          <w:rFonts w:hint="eastAsia" w:eastAsia="方正仿宋_GBK" w:cs="Times New Roman"/>
          <w:kern w:val="2"/>
          <w:sz w:val="28"/>
          <w:szCs w:val="28"/>
          <w:highlight w:val="none"/>
          <w:lang w:val="en-US" w:eastAsia="zh-CN" w:bidi="ar-SA"/>
          <w14:ligatures w14:val="standardContextual"/>
        </w:rPr>
      </w:pPr>
      <w:r>
        <w:rPr>
          <w:rFonts w:hint="eastAsia" w:eastAsia="方正仿宋_GBK" w:cs="Times New Roman"/>
          <w:kern w:val="2"/>
          <w:sz w:val="28"/>
          <w:szCs w:val="28"/>
          <w:highlight w:val="none"/>
          <w:lang w:val="en-US" w:eastAsia="zh-CN" w:bidi="ar-SA"/>
          <w14:ligatures w14:val="standardContextual"/>
        </w:rPr>
        <w:t>（一）</w:t>
      </w:r>
      <w:r>
        <w:rPr>
          <w:rFonts w:hint="default" w:ascii="Times New Roman" w:hAnsi="Times New Roman" w:eastAsia="方正仿宋_GBK" w:cs="Times New Roman"/>
          <w:kern w:val="2"/>
          <w:sz w:val="28"/>
          <w:szCs w:val="28"/>
          <w:highlight w:val="none"/>
          <w:lang w:val="en-US" w:eastAsia="zh-CN" w:bidi="ar-SA"/>
          <w14:ligatures w14:val="standardContextual"/>
        </w:rPr>
        <w:t>需求数量</w:t>
      </w:r>
      <w:r>
        <w:rPr>
          <w:rFonts w:hint="eastAsia" w:eastAsia="方正仿宋_GBK" w:cs="Times New Roman"/>
          <w:kern w:val="2"/>
          <w:sz w:val="28"/>
          <w:szCs w:val="28"/>
          <w:highlight w:val="none"/>
          <w:lang w:val="en-US" w:eastAsia="zh-CN" w:bidi="ar-SA"/>
          <w14:ligatures w14:val="standardContextual"/>
        </w:rPr>
        <w:t>：</w:t>
      </w:r>
    </w:p>
    <w:tbl>
      <w:tblPr>
        <w:tblStyle w:val="4"/>
        <w:tblW w:w="87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0"/>
        <w:gridCol w:w="3847"/>
        <w:gridCol w:w="2025"/>
        <w:gridCol w:w="135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84"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试剂</w:t>
            </w:r>
            <w:r>
              <w:rPr>
                <w:rStyle w:val="7"/>
                <w:rFonts w:eastAsia="宋体"/>
                <w:highlight w:val="none"/>
                <w:lang w:val="en-US" w:eastAsia="zh-CN" w:bidi="ar"/>
              </w:rPr>
              <w:t>/</w:t>
            </w:r>
            <w:r>
              <w:rPr>
                <w:rStyle w:val="8"/>
                <w:highlight w:val="none"/>
                <w:lang w:val="en-US" w:eastAsia="zh-CN" w:bidi="ar"/>
              </w:rPr>
              <w:t>耗材</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规格</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siRNA 3保1 合成服务（EIF4A2）</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慢病毒shRNA三保一套餐（C3orf36）</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慢病毒shRNA三保一套餐（TMEM165）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INTERFERin®</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细胞周期检测试剂盒</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100test</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Annexin V-FITC/PI Apoptosis Detection Kit</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100rxns</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0.25%胰蛋白酶-EDTA溶液</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HiScript III 1st Strand cDNA Synthesis Kit (+gDNA wiper)</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100rxns</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ChamQ Universal SYBR qPCR Master Mix</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 rxns</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VeZol Reagent</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VeZol Reagent</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EIF4A2 Polyclonal antibody</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50ul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Transwell小室</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8um，12个/板，4板/箱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盒装无酶200ul枪头</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200ul盒装灭菌黄吸头，96支/盒，10盒/大盒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盒装无酶10ul枪头</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0.5-10ul盒装灭菌透明吸头，96支/盒，10盒/大盒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盒装无酶10ul枪头（加长）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盒装无酶1000ul枪头（加长）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无酶1.5ml离心管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1.5m1透明灭菌离心管，50支/袋，5袋/包，10包/箱</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袋</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无酶0.2ml离心管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0.2ml透明平盖PCR薄壁管，1000/盒</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细胞培养瓶（T25，透气）</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10只/包</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6孔板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12孔板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24孔板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96孔板</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25</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DMEM高糖培养基</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26</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无血清细胞冻存液</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27</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NEST 0.1ml 白色PCR8联管</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28</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Immobilon-P 26.5 x 3.75m Roll PDF.45um</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29</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Vivaxell血清</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30</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RIPA裂解液(强)</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31</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PMSF(100mM)</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32</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DEPC水(DNase、RNase free)</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33</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双色SDS-PAGE蛋白上样缓冲液(5X，无气味)</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15ml</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color w:val="000000"/>
                <w:kern w:val="0"/>
                <w:sz w:val="22"/>
                <w:szCs w:val="22"/>
                <w:u w:val="none"/>
                <w:lang w:val="en-US" w:eastAsia="zh-CN" w:bidi="ar"/>
              </w:rPr>
              <w:t>34</w:t>
            </w:r>
          </w:p>
        </w:tc>
        <w:tc>
          <w:tcPr>
            <w:tcW w:w="3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UltraSignal 超敏ECL化学发光底物</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rPr>
                <w:rFonts w:hint="eastAsia" w:ascii="宋体" w:hAnsi="宋体" w:eastAsia="宋体" w:cs="宋体"/>
                <w:i w:val="0"/>
                <w:iCs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after="0" w:line="240" w:lineRule="auto"/>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bl>
    <w:p>
      <w:pPr>
        <w:rPr>
          <w:rFonts w:hint="default"/>
          <w:highlight w:val="none"/>
          <w:lang w:val="en-US" w:eastAsia="zh-CN"/>
        </w:rPr>
      </w:pPr>
    </w:p>
    <w:p>
      <w:pPr>
        <w:widowControl/>
        <w:adjustRightInd w:val="0"/>
        <w:snapToGrid w:val="0"/>
        <w:spacing w:after="0" w:line="360" w:lineRule="auto"/>
        <w:ind w:firstLine="0" w:firstLineChars="0"/>
        <w:jc w:val="left"/>
        <w:rPr>
          <w:rFonts w:hint="eastAsia" w:ascii="Times New Roman" w:hAnsi="Times New Roman" w:eastAsia="仿宋" w:cs="Times New Roman"/>
          <w:kern w:val="2"/>
          <w:sz w:val="28"/>
          <w:szCs w:val="28"/>
          <w:highlight w:val="none"/>
          <w:lang w:val="en-US" w:eastAsia="zh-CN" w:bidi="ar-SA"/>
          <w14:ligatures w14:val="standardContextual"/>
        </w:rPr>
      </w:pPr>
      <w:r>
        <w:rPr>
          <w:rFonts w:hint="eastAsia" w:ascii="Times New Roman" w:hAnsi="Times New Roman" w:eastAsia="方正仿宋_GBK"/>
          <w:sz w:val="32"/>
          <w:szCs w:val="32"/>
          <w:highlight w:val="none"/>
        </w:rPr>
        <w:t>★</w:t>
      </w: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tbl>
      <w:tblPr>
        <w:tblStyle w:val="5"/>
        <w:tblW w:w="87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41"/>
        <w:gridCol w:w="7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en-US" w:eastAsia="zh-CN"/>
              </w:rPr>
              <w:br w:type="page"/>
            </w:r>
            <w:r>
              <w:rPr>
                <w:rFonts w:hint="eastAsia" w:ascii="方正仿宋_GBK" w:hAnsi="方正仿宋_GBK" w:eastAsia="方正仿宋_GBK" w:cs="方正仿宋_GBK"/>
                <w:b/>
                <w:bCs w:val="0"/>
                <w:sz w:val="20"/>
                <w:szCs w:val="20"/>
                <w:highlight w:val="none"/>
                <w:lang w:val="zh-CN" w:eastAsia="zh-CN"/>
              </w:rPr>
              <w:t>序号</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内容</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bCs w:val="0"/>
                <w:sz w:val="20"/>
                <w:szCs w:val="20"/>
                <w:highlight w:val="none"/>
                <w:lang w:val="zh-CN"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1</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项目完成时间</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采购合同签订后</w:t>
            </w:r>
            <w:r>
              <w:rPr>
                <w:rFonts w:hint="eastAsia" w:ascii="方正仿宋_GBK" w:hAnsi="方正仿宋_GBK" w:eastAsia="方正仿宋_GBK" w:cs="方正仿宋_GBK"/>
                <w:b w:val="0"/>
                <w:bCs/>
                <w:sz w:val="20"/>
                <w:szCs w:val="20"/>
                <w:highlight w:val="none"/>
                <w:lang w:val="en-US" w:eastAsia="zh-CN"/>
              </w:rPr>
              <w:t>30</w:t>
            </w:r>
            <w:r>
              <w:rPr>
                <w:rFonts w:hint="eastAsia" w:ascii="方正仿宋_GBK" w:hAnsi="方正仿宋_GBK" w:eastAsia="方正仿宋_GBK" w:cs="方正仿宋_GBK"/>
                <w:b w:val="0"/>
                <w:bCs/>
                <w:sz w:val="20"/>
                <w:szCs w:val="20"/>
                <w:highlight w:val="none"/>
                <w:lang w:val="zh-CN" w:eastAsia="zh-CN"/>
              </w:rPr>
              <w:t>日内，完成货物交付和安装、调试，交付比选人验收。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2</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项目实施地点</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比选人指定地点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3</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售后服务期</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质保1年</w:t>
            </w:r>
            <w:r>
              <w:rPr>
                <w:rFonts w:hint="eastAsia" w:ascii="方正仿宋_GBK" w:hAnsi="方正仿宋_GBK" w:eastAsia="方正仿宋_GBK" w:cs="方正仿宋_GBK"/>
                <w:b w:val="0"/>
                <w:bCs/>
                <w:sz w:val="20"/>
                <w:szCs w:val="20"/>
                <w:highlight w:val="none"/>
                <w:lang w:val="zh-CN" w:eastAsia="zh-CN"/>
              </w:rPr>
              <w:t>，自最终验收合格之日起算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报价应是最终用户验收合格后的总价，包括但不限于包装、运输、安装调试、保险、风险、所有税费、验收合格交付使用及保修期内保修服务与备用物件和比选文件规定的其它全部费用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5</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合同价款支付</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项目实施完成验收合格</w:t>
            </w:r>
            <w:r>
              <w:rPr>
                <w:rFonts w:hint="eastAsia" w:ascii="方正仿宋_GBK" w:hAnsi="方正仿宋_GBK" w:eastAsia="方正仿宋_GBK" w:cs="方正仿宋_GBK"/>
                <w:b w:val="0"/>
                <w:bCs/>
                <w:sz w:val="20"/>
                <w:szCs w:val="20"/>
                <w:highlight w:val="none"/>
                <w:lang w:val="en-US" w:eastAsia="zh-CN"/>
              </w:rPr>
              <w:t>后</w:t>
            </w:r>
            <w:r>
              <w:rPr>
                <w:rFonts w:hint="eastAsia" w:ascii="方正仿宋_GBK" w:hAnsi="方正仿宋_GBK" w:eastAsia="方正仿宋_GBK" w:cs="方正仿宋_GBK"/>
                <w:b w:val="0"/>
                <w:bCs/>
                <w:sz w:val="20"/>
                <w:szCs w:val="20"/>
                <w:highlight w:val="none"/>
                <w:lang w:val="zh-CN" w:eastAsia="zh-CN"/>
              </w:rPr>
              <w:t>，支付</w:t>
            </w:r>
            <w:r>
              <w:rPr>
                <w:rFonts w:hint="eastAsia" w:ascii="方正仿宋_GBK" w:hAnsi="方正仿宋_GBK" w:eastAsia="方正仿宋_GBK" w:cs="方正仿宋_GBK"/>
                <w:b w:val="0"/>
                <w:bCs/>
                <w:sz w:val="20"/>
                <w:szCs w:val="20"/>
                <w:highlight w:val="none"/>
                <w:lang w:val="en-US" w:eastAsia="zh-CN"/>
              </w:rPr>
              <w:t>100</w:t>
            </w:r>
            <w:r>
              <w:rPr>
                <w:rFonts w:hint="eastAsia" w:ascii="方正仿宋_GBK" w:hAnsi="方正仿宋_GBK" w:eastAsia="方正仿宋_GBK" w:cs="方正仿宋_GBK"/>
                <w:b w:val="0"/>
                <w:bCs/>
                <w:sz w:val="20"/>
                <w:szCs w:val="20"/>
                <w:highlight w:val="none"/>
                <w:lang w:val="zh-CN" w:eastAsia="zh-CN"/>
              </w:rPr>
              <w:t>%的合同总价款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6</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zh-CN" w:eastAsia="zh-CN"/>
              </w:rPr>
              <w:t>履约验收</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（1）符合国家、行业标准、四川省地方标准规定的验收标准。</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2）验收时如发现所交付的货物有短装、次品、损坏或其它不符合标准及合同规定之情形者，采购人应做出详尽的现场记录，或由采购人与供应商双方签署备忘录，此现场记录或备忘录可用作补充、缺失和更换损坏部件的有效证据，由此产生的时间延误与有关费用由供应商承担；</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eastAsia" w:ascii="方正仿宋_GBK" w:hAnsi="方正仿宋_GBK" w:eastAsia="方正仿宋_GBK" w:cs="方正仿宋_GBK"/>
                <w:b w:val="0"/>
                <w:bCs/>
                <w:sz w:val="20"/>
                <w:szCs w:val="20"/>
                <w:highlight w:val="none"/>
                <w:lang w:val="en-US" w:eastAsia="zh-CN"/>
              </w:rPr>
            </w:pPr>
            <w:r>
              <w:rPr>
                <w:rFonts w:hint="eastAsia" w:ascii="方正仿宋_GBK" w:hAnsi="方正仿宋_GBK" w:eastAsia="方正仿宋_GBK" w:cs="方正仿宋_GBK"/>
                <w:b w:val="0"/>
                <w:bCs/>
                <w:sz w:val="20"/>
                <w:szCs w:val="20"/>
                <w:highlight w:val="none"/>
                <w:lang w:val="en-US" w:eastAsia="zh-CN"/>
              </w:rPr>
              <w:t>（3）供应商应将所提供货物的装箱清单、配件、随机工具、用户使用手册、原厂保修卡等资料交付给采购人；供应商不能完整交付货物及本款规定的单证和工具的，必须负责补齐，否则视为未按合同约定交货；</w:t>
            </w:r>
          </w:p>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（4）其他未尽事宜应严格参照《财政部关于进一步加强政府采购需求和履约验收管理的指导意见》（财库〔2016〕205号）、《政府采购需求管理办法》（财库〔2021〕22号）的要求进行验收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08"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7</w:t>
            </w:r>
          </w:p>
        </w:tc>
        <w:tc>
          <w:tcPr>
            <w:tcW w:w="741"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保险</w:t>
            </w:r>
          </w:p>
        </w:tc>
        <w:tc>
          <w:tcPr>
            <w:tcW w:w="7523" w:type="dxa"/>
            <w:vAlign w:val="center"/>
          </w:tcPr>
          <w:p>
            <w:pPr>
              <w:keepNext w:val="0"/>
              <w:keepLines w:val="0"/>
              <w:pageBreakBefore w:val="0"/>
              <w:widowControl w:val="0"/>
              <w:kinsoku/>
              <w:wordWrap/>
              <w:overflowPunct/>
              <w:topLinePunct w:val="0"/>
              <w:autoSpaceDE/>
              <w:autoSpaceDN/>
              <w:bidi w:val="0"/>
              <w:adjustRightInd w:val="0"/>
              <w:snapToGrid/>
              <w:spacing w:line="240" w:lineRule="exact"/>
              <w:jc w:val="left"/>
              <w:textAlignment w:val="auto"/>
              <w:rPr>
                <w:rFonts w:hint="default" w:ascii="Times New Roman" w:hAnsi="Times New Roman" w:eastAsia="方正仿宋_GBK" w:cs="Times New Roman"/>
                <w:b w:val="0"/>
                <w:bCs w:val="0"/>
                <w:i w:val="0"/>
                <w:caps w:val="0"/>
                <w:color w:val="auto"/>
                <w:spacing w:val="0"/>
                <w:sz w:val="24"/>
                <w:szCs w:val="24"/>
                <w:highlight w:val="none"/>
                <w:shd w:val="clear" w:fill="FFFFFF"/>
                <w:vertAlign w:val="baseline"/>
                <w:lang w:val="en-US" w:eastAsia="zh-CN"/>
              </w:rPr>
            </w:pPr>
            <w:r>
              <w:rPr>
                <w:rFonts w:hint="eastAsia" w:ascii="方正仿宋_GBK" w:hAnsi="方正仿宋_GBK" w:eastAsia="方正仿宋_GBK" w:cs="方正仿宋_GBK"/>
                <w:b w:val="0"/>
                <w:bCs/>
                <w:sz w:val="20"/>
                <w:szCs w:val="20"/>
                <w:highlight w:val="none"/>
                <w:lang w:val="en-US" w:eastAsia="zh-CN"/>
              </w:rPr>
              <w:t>比选申请人自行运输标的物或委托承运人运输的，应为该批货物购买货物运输保险及运输工具航程保险，其损毁、灭失的风险自合同成立时起由比选申请人承担。</w:t>
            </w:r>
          </w:p>
        </w:tc>
      </w:tr>
    </w:tbl>
    <w:p>
      <w:pPr>
        <w:keepNext w:val="0"/>
        <w:keepLines w:val="0"/>
        <w:pageBreakBefore w:val="0"/>
        <w:widowControl/>
        <w:kinsoku/>
        <w:wordWrap/>
        <w:overflowPunct/>
        <w:topLinePunct w:val="0"/>
        <w:autoSpaceDE/>
        <w:autoSpaceDN/>
        <w:bidi w:val="0"/>
        <w:adjustRightInd w:val="0"/>
        <w:snapToGrid w:val="0"/>
        <w:spacing w:after="0" w:line="240" w:lineRule="auto"/>
        <w:ind w:firstLine="0" w:firstLineChars="0"/>
        <w:jc w:val="left"/>
        <w:textAlignment w:val="auto"/>
        <w:rPr>
          <w:rFonts w:hint="eastAsia" w:ascii="Times New Roman" w:hAnsi="Times New Roman" w:eastAsia="仿宋" w:cs="Times New Roman"/>
          <w:kern w:val="2"/>
          <w:sz w:val="28"/>
          <w:szCs w:val="28"/>
          <w:highlight w:val="none"/>
          <w:lang w:val="en-US" w:eastAsia="zh-CN" w:bidi="ar-SA"/>
          <w14:ligatures w14:val="standardContextual"/>
        </w:rPr>
      </w:pPr>
    </w:p>
    <w:p>
      <w:pPr>
        <w:spacing w:after="0" w:line="570" w:lineRule="atLeast"/>
        <w:rPr>
          <w:rFonts w:hint="default" w:ascii="Times New Roman" w:hAnsi="Times New Roman" w:cs="Times New Roman"/>
          <w:highlight w:val="yellow"/>
          <w:lang w:val="en-US" w:eastAsia="zh-CN"/>
        </w:rPr>
      </w:pPr>
    </w:p>
    <w:p>
      <w:pPr>
        <w:spacing w:line="570" w:lineRule="atLeast"/>
        <w:rPr>
          <w:rFonts w:ascii="Times New Roman" w:hAnsi="Times New Roman" w:cs="Times New Roman"/>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rPr>
      </w:pPr>
    </w:p>
    <w:p>
      <w:pPr>
        <w:pStyle w:val="2"/>
        <w:spacing w:line="570" w:lineRule="atLeast"/>
      </w:pPr>
    </w:p>
    <w:p>
      <w:pPr>
        <w:pStyle w:val="2"/>
        <w:spacing w:line="570" w:lineRule="atLeast"/>
      </w:pPr>
    </w:p>
    <w:p>
      <w:pPr>
        <w:spacing w:line="570" w:lineRule="atLeast"/>
        <w:rPr>
          <w:rFonts w:ascii="Times New Roman" w:hAnsi="Times New Roman" w:cs="Times New Roman"/>
        </w:rPr>
      </w:pPr>
    </w:p>
    <w:p>
      <w:pPr>
        <w:pStyle w:val="2"/>
        <w:spacing w:line="570" w:lineRule="atLeast"/>
      </w:pPr>
    </w:p>
    <w:p/>
    <w:p/>
    <w:p/>
    <w:p/>
    <w:p/>
    <w:p/>
    <w:p/>
    <w:p/>
    <w:p/>
    <w:p/>
    <w:p/>
    <w:p/>
    <w:p/>
    <w:p/>
    <w:p/>
    <w:p/>
    <w:p/>
    <w:p/>
    <w:p/>
    <w:p/>
    <w:p/>
    <w:p/>
    <w:p/>
    <w:p/>
    <w:p/>
    <w:p/>
    <w:p/>
    <w:p/>
    <w:p/>
    <w:p/>
    <w:p/>
    <w:p>
      <w:pPr>
        <w:pStyle w:val="2"/>
        <w:spacing w:line="570" w:lineRule="atLeast"/>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p>
    <w:p>
      <w:pPr>
        <w:pStyle w:val="2"/>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r>
        <w:rPr>
          <w:rFonts w:ascii="Times New Roman" w:hAnsi="Times New Roman" w:eastAsia="方正小标宋_GBK" w:cs="Times New Roman"/>
          <w:color w:val="333333"/>
          <w:kern w:val="0"/>
          <w:sz w:val="32"/>
          <w:szCs w:val="32"/>
        </w:rPr>
        <w:t>报价表</w:t>
      </w:r>
    </w:p>
    <w:tbl>
      <w:tblPr>
        <w:tblStyle w:val="4"/>
        <w:tblW w:w="8287" w:type="dxa"/>
        <w:tblInd w:w="5" w:type="dxa"/>
        <w:shd w:val="clear" w:color="auto" w:fill="FFFFFF"/>
        <w:tblLayout w:type="fixed"/>
        <w:tblCellMar>
          <w:top w:w="0" w:type="dxa"/>
          <w:left w:w="0" w:type="dxa"/>
          <w:bottom w:w="0" w:type="dxa"/>
          <w:right w:w="0" w:type="dxa"/>
        </w:tblCellMar>
      </w:tblPr>
      <w:tblGrid>
        <w:gridCol w:w="750"/>
        <w:gridCol w:w="1196"/>
        <w:gridCol w:w="1504"/>
        <w:gridCol w:w="1450"/>
        <w:gridCol w:w="712"/>
        <w:gridCol w:w="1250"/>
        <w:gridCol w:w="1425"/>
      </w:tblGrid>
      <w:tr>
        <w:tblPrEx>
          <w:shd w:val="clear" w:color="auto" w:fill="FFFFFF"/>
          <w:tblLayout w:type="fixed"/>
          <w:tblCellMar>
            <w:top w:w="0" w:type="dxa"/>
            <w:left w:w="0" w:type="dxa"/>
            <w:bottom w:w="0" w:type="dxa"/>
            <w:right w:w="0" w:type="dxa"/>
          </w:tblCellMar>
        </w:tblPrEx>
        <w:trPr>
          <w:trHeight w:val="735" w:hRule="atLeast"/>
        </w:trPr>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序号</w:t>
            </w:r>
          </w:p>
        </w:tc>
        <w:tc>
          <w:tcPr>
            <w:tcW w:w="119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产品</w:t>
            </w:r>
          </w:p>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名称</w:t>
            </w:r>
          </w:p>
        </w:tc>
        <w:tc>
          <w:tcPr>
            <w:tcW w:w="150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品牌</w:t>
            </w:r>
          </w:p>
        </w:tc>
        <w:tc>
          <w:tcPr>
            <w:tcW w:w="14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型号</w:t>
            </w:r>
          </w:p>
        </w:tc>
        <w:tc>
          <w:tcPr>
            <w:tcW w:w="7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数量</w:t>
            </w:r>
          </w:p>
        </w:tc>
        <w:tc>
          <w:tcPr>
            <w:tcW w:w="12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单价（元）</w:t>
            </w:r>
          </w:p>
        </w:tc>
        <w:tc>
          <w:tcPr>
            <w:tcW w:w="142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总价（元）</w:t>
            </w:r>
          </w:p>
        </w:tc>
      </w:tr>
      <w:tr>
        <w:tblPrEx>
          <w:shd w:val="clear" w:color="auto" w:fill="FFFFFF"/>
          <w:tblLayout w:type="fixed"/>
          <w:tblCellMar>
            <w:top w:w="0" w:type="dxa"/>
            <w:left w:w="0" w:type="dxa"/>
            <w:bottom w:w="0" w:type="dxa"/>
            <w:right w:w="0" w:type="dxa"/>
          </w:tblCellMar>
        </w:tblPrEx>
        <w:trPr>
          <w:trHeight w:val="330" w:hRule="atLeast"/>
        </w:trPr>
        <w:tc>
          <w:tcPr>
            <w:tcW w:w="75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1</w:t>
            </w:r>
          </w:p>
        </w:tc>
        <w:tc>
          <w:tcPr>
            <w:tcW w:w="119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50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71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2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2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750"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2</w:t>
            </w:r>
          </w:p>
        </w:tc>
        <w:tc>
          <w:tcPr>
            <w:tcW w:w="1196"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504"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712"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25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42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490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合计</w:t>
            </w:r>
          </w:p>
        </w:tc>
        <w:tc>
          <w:tcPr>
            <w:tcW w:w="3387"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元</w:t>
            </w:r>
          </w:p>
        </w:tc>
      </w:tr>
    </w:tbl>
    <w:p>
      <w:pPr>
        <w:tabs>
          <w:tab w:val="left" w:pos="2142"/>
        </w:tabs>
        <w:spacing w:line="570" w:lineRule="atLeast"/>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注：</w:t>
      </w:r>
    </w:p>
    <w:p>
      <w:pPr>
        <w:tabs>
          <w:tab w:val="left" w:pos="2142"/>
        </w:tabs>
        <w:spacing w:line="570" w:lineRule="atLeas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lang w:val="en-US" w:eastAsia="zh-CN"/>
        </w:rPr>
        <w:t>他</w:t>
      </w:r>
      <w:r>
        <w:rPr>
          <w:rFonts w:ascii="Times New Roman" w:hAnsi="Times New Roman" w:eastAsia="方正仿宋_GBK" w:cs="Times New Roman"/>
          <w:sz w:val="28"/>
          <w:szCs w:val="28"/>
        </w:rPr>
        <w:t>费用。</w:t>
      </w:r>
    </w:p>
    <w:p>
      <w:pPr>
        <w:tabs>
          <w:tab w:val="left" w:pos="2142"/>
        </w:tabs>
        <w:spacing w:line="570" w:lineRule="atLeas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供应商名称：（盖章）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法定代表人或授权代表（签字）：</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pPr>
        <w:spacing w:line="570" w:lineRule="atLeast"/>
        <w:jc w:val="center"/>
        <w:rPr>
          <w:rFonts w:ascii="Times New Roman" w:hAnsi="Times New Roman" w:eastAsia="方正小标宋_GBK" w:cs="Times New Roman"/>
          <w:b/>
          <w:bCs/>
          <w:sz w:val="28"/>
          <w:szCs w:val="28"/>
        </w:rPr>
      </w:pPr>
    </w:p>
    <w:p>
      <w:pPr>
        <w:pStyle w:val="2"/>
        <w:rPr>
          <w:rFonts w:ascii="Times New Roman" w:hAnsi="Times New Roman" w:eastAsia="方正小标宋_GBK" w:cs="Times New Roman"/>
          <w:b/>
          <w:bCs/>
          <w:sz w:val="28"/>
          <w:szCs w:val="28"/>
        </w:rPr>
      </w:pPr>
    </w:p>
    <w:p/>
    <w:p/>
    <w:p/>
    <w:p/>
    <w:p/>
    <w:p/>
    <w:p/>
    <w:p/>
    <w:p/>
    <w:p/>
    <w:p/>
    <w:p>
      <w:pPr>
        <w:pStyle w:val="2"/>
        <w:spacing w:line="570" w:lineRule="atLeast"/>
        <w:rPr>
          <w:rFonts w:eastAsia="方正小标宋_GBK"/>
          <w:b/>
          <w:bCs/>
          <w:sz w:val="28"/>
          <w:szCs w:val="28"/>
        </w:rPr>
      </w:pPr>
    </w:p>
    <w:p>
      <w:pPr>
        <w:tabs>
          <w:tab w:val="left" w:pos="6300"/>
        </w:tabs>
        <w:spacing w:line="570" w:lineRule="atLeas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响应表</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bl>
    <w:p>
      <w:pPr>
        <w:tabs>
          <w:tab w:val="left" w:pos="6300"/>
        </w:tabs>
        <w:spacing w:line="570" w:lineRule="atLeast"/>
        <w:ind w:firstLine="573"/>
        <w:rPr>
          <w:rFonts w:ascii="Times New Roman" w:hAnsi="Times New Roman" w:eastAsia="方正仿宋_GBK" w:cs="Times New Roman"/>
          <w:sz w:val="24"/>
        </w:rPr>
      </w:pP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注意：竞标人必须据实填写，不得虚假响应，虚假响应的，其响应文件无效并按规定追究其相关责任</w:t>
      </w:r>
      <w:r>
        <w:rPr>
          <w:rFonts w:hint="eastAsia" w:ascii="Times New Roman" w:hAnsi="Times New Roman" w:eastAsia="方正仿宋_GBK" w:cs="Times New Roman"/>
          <w:b/>
          <w:bCs/>
          <w:sz w:val="24"/>
          <w:lang w:eastAsia="zh-CN"/>
        </w:rPr>
        <w:t>（</w:t>
      </w:r>
      <w:r>
        <w:rPr>
          <w:rFonts w:hint="eastAsia" w:ascii="Times New Roman" w:hAnsi="Times New Roman" w:eastAsia="方正仿宋_GBK" w:cs="Times New Roman"/>
          <w:b/>
          <w:bCs/>
          <w:sz w:val="24"/>
          <w:lang w:val="en-US" w:eastAsia="zh-CN"/>
        </w:rPr>
        <w:t>响应表包含商务服务要求</w:t>
      </w:r>
      <w:r>
        <w:rPr>
          <w:rFonts w:hint="eastAsia" w:ascii="Times New Roman" w:hAnsi="Times New Roman" w:eastAsia="方正仿宋_GBK" w:cs="Times New Roman"/>
          <w:b/>
          <w:bCs/>
          <w:sz w:val="24"/>
          <w:lang w:eastAsia="zh-CN"/>
        </w:rPr>
        <w:t>）</w:t>
      </w:r>
      <w:r>
        <w:rPr>
          <w:rFonts w:ascii="Times New Roman" w:hAnsi="Times New Roman" w:eastAsia="方正仿宋_GBK" w:cs="Times New Roman"/>
          <w:sz w:val="24"/>
        </w:rPr>
        <w:t>。</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 </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333333"/>
          <w:kern w:val="0"/>
          <w:sz w:val="24"/>
        </w:rPr>
        <w:t>投标人</w:t>
      </w:r>
      <w:r>
        <w:rPr>
          <w:rFonts w:ascii="Times New Roman" w:hAnsi="Times New Roman" w:eastAsia="方正仿宋_GBK" w:cs="Times New Roman"/>
          <w:sz w:val="24"/>
        </w:rPr>
        <w:t>名称（加盖公章）：XXX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日 期：XXX年XXX月XXX日</w:t>
      </w:r>
    </w:p>
    <w:p>
      <w:pPr>
        <w:spacing w:line="570" w:lineRule="atLeast"/>
        <w:jc w:val="center"/>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jc w:val="center"/>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质量保证书</w:t>
      </w:r>
    </w:p>
    <w:p>
      <w:pPr>
        <w:spacing w:line="570" w:lineRule="atLeast"/>
        <w:ind w:firstLine="360" w:firstLineChars="150"/>
        <w:rPr>
          <w:rFonts w:ascii="Times New Roman" w:hAnsi="Times New Roman" w:eastAsia="方正仿宋_GBK" w:cs="Times New Roman"/>
          <w:sz w:val="24"/>
          <w:u w:val="single"/>
        </w:rPr>
      </w:pPr>
      <w:r>
        <w:rPr>
          <w:rFonts w:ascii="Times New Roman" w:hAnsi="Times New Roman" w:eastAsia="方正仿宋_GBK" w:cs="Times New Roman"/>
          <w:sz w:val="24"/>
          <w:u w:val="single"/>
        </w:rPr>
        <w:t xml:space="preserve">           ：</w:t>
      </w:r>
    </w:p>
    <w:p>
      <w:pPr>
        <w:spacing w:line="570" w:lineRule="atLeast"/>
        <w:ind w:firstLine="630"/>
        <w:jc w:val="left"/>
        <w:rPr>
          <w:rFonts w:ascii="Times New Roman" w:hAnsi="Times New Roman" w:eastAsia="方正仿宋_GBK" w:cs="Times New Roman"/>
          <w:sz w:val="24"/>
        </w:rPr>
      </w:pP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r>
        <w:rPr>
          <w:rFonts w:ascii="Times New Roman" w:hAnsi="Times New Roman" w:eastAsia="方正仿宋_GBK" w:cs="Times New Roman"/>
          <w:b/>
          <w:bCs/>
          <w:sz w:val="24"/>
        </w:rPr>
        <w:t>制造商家名称</w:t>
      </w:r>
      <w:r>
        <w:rPr>
          <w:rFonts w:ascii="Times New Roman" w:hAnsi="Times New Roman" w:eastAsia="方正仿宋_GBK" w:cs="Times New Roman"/>
          <w:sz w:val="24"/>
        </w:rPr>
        <w:t>）是在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（国名）依法登记注册的，其地址现在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。其主要营业地点现在</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p>
    <w:p>
      <w:pPr>
        <w:pStyle w:val="3"/>
        <w:spacing w:after="0" w:line="570" w:lineRule="atLeast"/>
        <w:ind w:left="0" w:leftChars="0" w:firstLine="600" w:firstLineChars="250"/>
        <w:rPr>
          <w:rFonts w:ascii="Times New Roman" w:hAnsi="Times New Roman" w:eastAsia="方正仿宋_GBK" w:cs="Times New Roman"/>
          <w:sz w:val="24"/>
        </w:rPr>
      </w:pPr>
      <w:r>
        <w:rPr>
          <w:rFonts w:ascii="Times New Roman" w:hAnsi="Times New Roman" w:eastAsia="方正仿宋_GBK" w:cs="Times New Roman"/>
          <w:sz w:val="24"/>
        </w:rPr>
        <w:t>作为供应商，我方承诺，为本次招标提供的货物为原厂制造、合法渠道供应的全新产品。我方保证以投标合作者来约束自己，并对该投标共同承担和分别承担招标文件中所规定的义务。</w:t>
      </w:r>
    </w:p>
    <w:p>
      <w:pPr>
        <w:spacing w:line="570" w:lineRule="atLeast"/>
        <w:ind w:firstLine="630"/>
        <w:rPr>
          <w:rFonts w:ascii="Times New Roman" w:hAnsi="Times New Roman" w:eastAsia="方正仿宋_GBK" w:cs="Times New Roman"/>
          <w:sz w:val="24"/>
        </w:rPr>
      </w:pP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供应商单位名称：       （盖章） </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供应商单位法定代表人或授权代表（签字）：        </w:t>
      </w:r>
      <w:r>
        <w:rPr>
          <w:rFonts w:ascii="Times New Roman" w:hAnsi="Times New Roman" w:eastAsia="方正仿宋_GBK" w:cs="Times New Roman"/>
          <w:sz w:val="24"/>
        </w:rPr>
        <w:tab/>
      </w:r>
      <w:r>
        <w:rPr>
          <w:rFonts w:ascii="Times New Roman" w:hAnsi="Times New Roman" w:eastAsia="方正仿宋_GBK" w:cs="Times New Roman"/>
          <w:sz w:val="24"/>
        </w:rPr>
        <w:tab/>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日期：</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附：授权销售产品清单</w:t>
      </w:r>
    </w:p>
    <w:p>
      <w:pPr>
        <w:spacing w:line="570" w:lineRule="atLeast"/>
        <w:rPr>
          <w:rFonts w:ascii="Times New Roman" w:hAnsi="Times New Roman" w:eastAsia="方正仿宋_GBK" w:cs="Times New Roman"/>
          <w:sz w:val="22"/>
          <w:szCs w:val="22"/>
        </w:rPr>
      </w:pPr>
      <w:bookmarkStart w:id="0" w:name="_Toc174767233"/>
      <w:bookmarkStart w:id="1" w:name="_Toc237343703"/>
      <w:bookmarkStart w:id="2" w:name="_Toc95295163"/>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法定代表人身份授权书</w:t>
      </w:r>
    </w:p>
    <w:p>
      <w:pPr>
        <w:spacing w:line="570" w:lineRule="atLeast"/>
        <w:rPr>
          <w:rFonts w:ascii="Times New Roman" w:hAnsi="Times New Roman" w:eastAsia="方正仿宋_GBK" w:cs="Times New Roman"/>
          <w:b/>
          <w:bCs/>
          <w:sz w:val="28"/>
          <w:szCs w:val="28"/>
        </w:rPr>
      </w:pPr>
    </w:p>
    <w:p>
      <w:pPr>
        <w:tabs>
          <w:tab w:val="left" w:pos="6300"/>
        </w:tabs>
        <w:spacing w:line="570" w:lineRule="atLeast"/>
        <w:rPr>
          <w:rFonts w:ascii="Times New Roman" w:hAnsi="Times New Roman" w:eastAsia="方正仿宋_GBK" w:cs="Times New Roman"/>
          <w:color w:val="000000"/>
          <w:sz w:val="24"/>
          <w:lang w:val="zh-CN"/>
        </w:rPr>
      </w:pP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000000"/>
          <w:sz w:val="24"/>
          <w:lang w:val="zh-CN"/>
        </w:rPr>
        <w:t xml:space="preserve">   本授权声明：</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（投标人名称）</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（法定代表人姓名、职务）授权</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（被授权人姓名、职务）为我方</w:t>
      </w:r>
      <w:r>
        <w:rPr>
          <w:rFonts w:ascii="Times New Roman" w:hAnsi="Times New Roman" w:eastAsia="方正仿宋_GBK" w:cs="Times New Roman"/>
          <w:color w:val="000000"/>
          <w:sz w:val="24"/>
          <w:u w:val="single"/>
          <w:lang w:val="zh-CN"/>
        </w:rPr>
        <w:t xml:space="preserve"> “                                          ”</w:t>
      </w:r>
      <w:r>
        <w:rPr>
          <w:rFonts w:ascii="Times New Roman" w:hAnsi="Times New Roman" w:eastAsia="方正仿宋_GBK" w:cs="Times New Roman"/>
          <w:color w:val="000000"/>
          <w:sz w:val="24"/>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特此声明。</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法定代表人签字：</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授权代表签字：</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投标人名称：</w:t>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 xml:space="preserve">      （加盖公章）</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日期：</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rPr>
      </w:pPr>
    </w:p>
    <w:p>
      <w:pPr>
        <w:spacing w:after="120" w:line="570" w:lineRule="atLeast"/>
        <w:jc w:val="both"/>
        <w:rPr>
          <w:rFonts w:ascii="Times New Roman" w:hAnsi="Times New Roman" w:eastAsia="方正小标宋_GBK" w:cs="Times New Roman"/>
          <w:color w:val="000000"/>
          <w:sz w:val="28"/>
          <w:szCs w:val="22"/>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pStyle w:val="2"/>
        <w:rPr>
          <w:rFonts w:hint="default"/>
          <w:lang w:val="en-US" w:eastAsia="zh-CN"/>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r>
        <w:rPr>
          <w:rFonts w:hint="default" w:ascii="Times New Roman" w:hAnsi="Times New Roman" w:eastAsia="方正小标宋_GBK" w:cs="Times New Roman"/>
          <w:color w:val="000000"/>
          <w:kern w:val="2"/>
          <w:sz w:val="28"/>
          <w:szCs w:val="22"/>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rPr>
        <w:t>日期：   年    月    日</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91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paragraph" w:styleId="3">
    <w:name w:val="Body Text Indent"/>
    <w:basedOn w:val="1"/>
    <w:qFormat/>
    <w:uiPriority w:val="99"/>
    <w:pPr>
      <w:spacing w:after="120"/>
      <w:ind w:left="420" w:leftChars="200"/>
    </w:pPr>
  </w:style>
  <w:style w:type="table" w:styleId="5">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7">
    <w:name w:val="font101"/>
    <w:basedOn w:val="6"/>
    <w:qFormat/>
    <w:uiPriority w:val="0"/>
    <w:rPr>
      <w:rFonts w:hint="default" w:ascii="Times New Roman" w:hAnsi="Times New Roman" w:cs="Times New Roman"/>
      <w:b/>
      <w:bCs/>
      <w:color w:val="000000"/>
      <w:sz w:val="22"/>
      <w:szCs w:val="22"/>
      <w:u w:val="none"/>
    </w:rPr>
  </w:style>
  <w:style w:type="character" w:customStyle="1" w:styleId="8">
    <w:name w:val="font61"/>
    <w:basedOn w:val="6"/>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2026-05-08T06:47:40Z</dcterms:created>
  <dc:creator>OS</dc:creator>
  <cp:lastModifiedBy>們泊冬吴@^_^</cp:lastModifiedBy>
  <dcterms:modified xsi:type="dcterms:W3CDTF">2026-05-08T06:48:49Z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