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0"/>
          <w:szCs w:val="30"/>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舆情监测与研判处置服务采购项目。</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 xml:space="preserve">最高限价：3.8 </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★（一）商务服务要求（实质性要求）：</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1.服务期限：1 年</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2.服务地点：成都市金牛区妇幼保健院</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3.报价：报价应是完成本项目所有采购内容和比选文件规定的其他全部费用，最终用户验收合格后的总价</w:t>
      </w:r>
      <w:r>
        <w:rPr>
          <w:rFonts w:hint="eastAsia"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4.合同价款支付：采购合同签订后，采购人在收到供应商正式合</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法有效税票及凭证资料后30日内支付合同总金额的 70%；合同期满经考核后，采购人在收到供应商正式合法有效税票及凭证资料后3</w:t>
      </w:r>
      <w:r>
        <w:rPr>
          <w:rFonts w:hint="eastAsia" w:eastAsia="方正仿宋_GBK" w:cs="Times New Roman"/>
          <w:kern w:val="2"/>
          <w:sz w:val="28"/>
          <w:szCs w:val="28"/>
          <w:highlight w:val="none"/>
          <w:lang w:val="en-US" w:eastAsia="zh-CN" w:bidi="ar-SA"/>
          <w14:ligatures w14:val="standardContextual"/>
        </w:rPr>
        <w:t>0</w:t>
      </w:r>
      <w:r>
        <w:rPr>
          <w:rFonts w:hint="default" w:ascii="Times New Roman" w:hAnsi="Times New Roman" w:eastAsia="方正仿宋_GBK" w:cs="Times New Roman"/>
          <w:kern w:val="2"/>
          <w:sz w:val="28"/>
          <w:szCs w:val="28"/>
          <w:highlight w:val="none"/>
          <w:lang w:val="en-US" w:eastAsia="zh-CN" w:bidi="ar-SA"/>
          <w14:ligatures w14:val="standardContextual"/>
        </w:rPr>
        <w:t>日内，按比例支付剩余30%合同金额。</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5.服务考核办法</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5.1 服务公司根据采购人的要求，在规定时间内完成相关舆情信</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息的搜集、分析、研判及报送工作，重大、突发舆情不得漏报、缓报。舆情报告须严格按照采购人提供的模板制作，对报告内出现明显错误、语句不通，文字、标点错误的，每处扣1分；</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5.2 当采购人发现相关舆情而服务公司提供舆情服务时未发现，每条扣3分；</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5.3 当采购人业务主管及指导部门（如国家网信办、省委网信办）</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发现采购人相关舆情而服务公司提供服务时未发现，每条扣5分；</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5.4 若采购人因舆情被业务主管单位通报，而服务公司未及时事前发现反馈，扣10分/次；</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5.5 根据日常考核分值，对服务公司进行年度考核，每年100分</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计；根据服务项目年度服务考核情况支付尾款，考核分数在90以上支付全额尾款，90—80分支付90%尾款，80—70 分支付80%尾款， 70分以下不予支付。</w:t>
      </w:r>
    </w:p>
    <w:p>
      <w:pPr>
        <w:pStyle w:val="2"/>
        <w:keepNext w:val="0"/>
        <w:keepLines w:val="0"/>
        <w:pageBreakBefore w:val="0"/>
        <w:widowControl w:val="0"/>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6.履约验收：参照《财政部关于进一步加强政府采购需求和履约</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验收管理的指导意见》（财库〔2016〕205 号）、《政府采购需求管理办法》（财库〔2021〕22 号）的要求进行验收。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（二）服务要求：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b/>
          <w:bCs/>
          <w:kern w:val="2"/>
          <w:sz w:val="28"/>
          <w:szCs w:val="28"/>
          <w:highlight w:val="none"/>
          <w:lang w:val="en-US" w:eastAsia="zh-CN" w:bidi="ar-SA"/>
          <w14:ligatures w14:val="standardContextual"/>
        </w:rPr>
        <w:t>1. 舆情监测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1.1 舆情监测服务：通过成熟的舆情监测系统，包含数据监测、危机舆情预警、智能分析等功能，支持海量数据分析处理，实现对信息的获取、分析、溯源的全过程管理。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1.2 舆情信息实时通知：舆情监测系统 7*24 小时实时监测，对负面舆情提供实时抓取和推送提醒（系统推送 5 分钟之内）；建立相关工作群实现实时沟通。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 监测范围：能实现全网全量的公开信息数据采集监测。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1.3.1 网络媒体信息采集的范围：对境内主流网站进行信息采集，包括但不限于全国政府官方网站、重点新闻、商业网站（网易、新浪、凤凰、搜狐、腾讯等），采集网站数据不低于 60 万家。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1.3.2 平面媒体信息采集的范围：全国及重点城市发行量较大的报刊电子版不低于 1300 份；论坛数据信息采集的范围：对全国及省（市/自治区） 内主流论坛发帖进行实时采集；采集要素包括：论坛名称、版块、URL 、标题、发帖 ID 、发帖时间、正文等。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1.3.3 博客数据信息采集的范围：对国内主流博客进行信息采集，采集要素包括：网站名称、博客名称、URL 、博主信息、标题、发布时间、正文等。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1.3.4 视频数据信息采集的范围：对国内优酷、腾讯、爱奇艺、搜狐等视频网站的视频信息、节目信息进行信息采集。视频信息采集完整，包括视频的标题、URL 、描述、视频标签、播放地址等详细信息。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1.3.5 手机短视频（抖音、哔哩哔哩、快手等）、电子报纸、手机 APP 等各类易发舆情事件的网络媒体实时进行监测。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1.3.6 静态侵权内容人工监测：对互联网上各类非实时出现的侵权内容进行监测报送。搜索入口推荐词，包括百度、今日头条、抖音和快手等主要平台；旧闻旧事因权重或算法等原因被主要搜索平台露出，包括百度、今日头条、抖音和快手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1.3.7 侵权账号人工监测：互联网上各类侵犯单位商标权（全称、简称、缩写、别称或图形 LOGO 等）的侵权账号进行监测报送：包括以微信公众号、微信朋友圈、抖音、快手、小红书或 B 站等各种形式存在的侵权账号。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1.3.8 重点账号监测：对重点账号定向监测，定时梳理其账号内容，关注其账号动态、发布内容热度等。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1.3.9 危机监测：对可能造成危机的网络舆情信息做到及时发现和预警，对于危急舆情在 24 小时内提供对方账号、链接、内容等的资料数据，并提供分析和应对建议。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1.4 推送预警：系统支持 5 分钟之内自动推送预警信息，用户可自行查收，2 小时之内人工推送并给出处置建议；系统提供关键词扫描预警功能，可结合数据统计结果，能够迅速向用户报送预警信息，预警方式包含：微信公众号预警、短信预警。</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kern w:val="2"/>
          <w:sz w:val="28"/>
          <w:szCs w:val="28"/>
          <w:highlight w:val="none"/>
          <w:lang w:val="en-US" w:eastAsia="zh-CN" w:bidi="ar-SA"/>
          <w14:ligatures w14:val="standardContextual"/>
        </w:rPr>
        <w:t>★2.舆情应对处置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2.1 舆情应对：发现舆情，第一时间进行法务分析，提供处置建议，并能协助医院有效应对。所有舆情形成舆情处置单留痕，定期整理成册反馈给医院。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2.1.1 舆情记录：对报送的舆情进行信息记录，记录内容包括：发布平台、发布时间、链接、主要内容和截图存档。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2.1.2 舆情分析判断：对舆论内容进行判断，判断内容包括：发布者（在职员工、竞争机构、院外人士、权威媒体、自媒体或其他）；内容相关（医疗服务管理措施类、药物安全类、维权类、医疗事故类、医患纠纷类、医德医风类、意识形态类、医患伤亡类、医疗服务满意度和其他）；侵权与否判断（侵权、不侵权）；侵权类型判断（ 自媒体炒作、院外人士抹黑/竞争/拉踩、极端患者情绪表达、品牌冒用和网暴等）。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2.1.3 舆情反馈分类：将内容作为改进提升建议向相关部门进行反馈。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2.1.4 侵权建议书：根据甲方需要，为甲方提供舆情事件中的侵权行为法律分析，结合国家相关法律法规出具相应的法律意见书，并协助甲方进行相关侵权证据的固定。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2.1.5侵权行为应对：当发生重大敏感舆情时，协助医院报警维权、发布澄清公告、联系当事人处理及出具律师函等；发生一般谣言或诽谤时，通过舆情发生平台依法依规进行处置。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kern w:val="2"/>
          <w:sz w:val="28"/>
          <w:szCs w:val="28"/>
          <w:highlight w:val="none"/>
          <w:lang w:val="en-US" w:eastAsia="zh-CN" w:bidi="ar-SA"/>
          <w14:ligatures w14:val="standardContextual"/>
        </w:rPr>
        <w:t>3. 舆情报告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定期提供人工撰写的有效舆情报告。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3.1. 月报：每月提供一次该周期内电子版的舆情报告，包含该周期内的舆情记录列表、每条舆情的处置单，及该周期内的舆情分析报告。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3.2 专项报告：突发敏感舆情简报，用于快速向医院管理层和上级管理部门进行情况快报，包括发布平台、链接、截图、发布者、内容诉求、舆情传播点、转赞评数据及评论主要观点等。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3.3 舆情过程报告：针对发生中的舆情，提供舆情传播过程的数据快报，包括核心帖文转赞评数据走势图；各大热搜榜单相关话题走势及数据情况；重要的新闻媒体和自媒体对事件的传播情况，如央视新闻、人民网、新华社、中国新闻社、澎湃等；舆情传播中的重要变化节点，如当事人或相关人发声、公告发布、重要的材料或者证据传播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3.4 声明公告：针对重大敏感舆情，提供重要声明公告的相关服务，包括公告声明内容拟定参考；媒体对接服务，可代为联系包括但不限于各类央级和省级党媒和全国性权威新闻媒体等，及时传递医院声音。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3.5 舆情总结报告：重大敏感舆情传播热度下降后，提供专项总结报告，包括信息发布网站走势统计、信息发布平台数量及占比、在各大平台传播量数据统计及走势；事件关键词云、重点热门信息、事件热点网民分析、网络媒体传播途径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3.6 年报：在1月10日前提供上一年度的舆情年报，内容包括上一年度所有舆情信息汇总并分类、敏感重大舆情分析以及结合医院现状给出舆情研判建议。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kern w:val="2"/>
          <w:sz w:val="28"/>
          <w:szCs w:val="28"/>
          <w:highlight w:val="none"/>
          <w:lang w:val="en-US" w:eastAsia="zh-CN" w:bidi="ar-SA"/>
          <w14:ligatures w14:val="standardContextual"/>
        </w:rPr>
        <w:t>★4.舆情培训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每年按医院要求组织至少2 次线下舆情专场培训，包含舆情讲座培训及舆情实战演练。组织时由公司自主承担往来差旅食宿费用，培训内容包含舆情认知及管理、突发舆情应对、侵权舆情处置、网信办12377 侵权维权培训、舆情实战演练推演等。根据医院要求安排培训时间、培训地点、培训教材、培训专家、培训案例等。</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b/>
          <w:bCs/>
          <w:kern w:val="2"/>
          <w:sz w:val="28"/>
          <w:szCs w:val="28"/>
          <w:highlight w:val="none"/>
          <w:lang w:val="en-US" w:eastAsia="zh-CN" w:bidi="ar-SA"/>
          <w14:ligatures w14:val="standardContextual"/>
        </w:rPr>
        <w:t>5. 售后服务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5. 1 舆情监测处置服务提供7*16 小时人工预警报送和协助处置服务，危机舆情 24 小时在线并根据医院要求可提供现场指导，在 12 小时之内到达。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5.2 项目服务团队：提供不少于五人的项目服务团队，其中至少两名成员具备法学专业背景，当发生舆情时可以根据国家有关法律法规协助医院进行研判和处置。</w:t>
      </w: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spacing w:line="570" w:lineRule="atLeast"/>
        <w:rPr>
          <w:rFonts w:ascii="Times New Roman" w:hAnsi="Times New Roman" w:cs="Times New Roman"/>
          <w:highlight w:val="none"/>
        </w:rPr>
      </w:pPr>
    </w:p>
    <w:p>
      <w:pPr>
        <w:pStyle w:val="2"/>
        <w:spacing w:line="570" w:lineRule="atLeast"/>
        <w:rPr>
          <w:highlight w:val="none"/>
        </w:rPr>
      </w:pPr>
    </w:p>
    <w:p>
      <w:pPr>
        <w:pStyle w:val="2"/>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pStyle w:val="2"/>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3"/>
        <w:tblW w:w="8368" w:type="dxa"/>
        <w:tblInd w:w="0" w:type="dxa"/>
        <w:tblLayout w:type="fixed"/>
        <w:tblCellMar>
          <w:top w:w="0" w:type="dxa"/>
          <w:left w:w="108" w:type="dxa"/>
          <w:bottom w:w="0" w:type="dxa"/>
          <w:right w:w="108" w:type="dxa"/>
        </w:tblCellMar>
      </w:tblPr>
      <w:tblGrid>
        <w:gridCol w:w="3596"/>
        <w:gridCol w:w="4772"/>
      </w:tblGrid>
      <w:tr>
        <w:tblPrEx>
          <w:tblLayout w:type="fixed"/>
          <w:tblCellMar>
            <w:top w:w="0" w:type="dxa"/>
            <w:left w:w="108" w:type="dxa"/>
            <w:bottom w:w="0" w:type="dxa"/>
            <w:right w:w="108" w:type="dxa"/>
          </w:tblCellMar>
        </w:tblPrEx>
        <w:trPr>
          <w:trHeight w:val="735" w:hRule="atLeast"/>
        </w:trPr>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项目名称</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报价</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元</w:t>
            </w:r>
            <w:r>
              <w:rPr>
                <w:rFonts w:hint="eastAsia" w:ascii="仿宋" w:hAnsi="仿宋" w:eastAsia="仿宋" w:cs="仿宋"/>
                <w:b/>
                <w:bCs/>
                <w:color w:val="auto"/>
                <w:kern w:val="0"/>
                <w:sz w:val="24"/>
                <w:highlight w:val="none"/>
                <w:lang w:eastAsia="zh-CN"/>
              </w:rPr>
              <w:t>）</w:t>
            </w:r>
          </w:p>
        </w:tc>
      </w:tr>
      <w:tr>
        <w:tblPrEx>
          <w:tblLayout w:type="fixed"/>
          <w:tblCellMar>
            <w:top w:w="0" w:type="dxa"/>
            <w:left w:w="108" w:type="dxa"/>
            <w:bottom w:w="0" w:type="dxa"/>
            <w:right w:w="108" w:type="dxa"/>
          </w:tblCellMar>
        </w:tblPrEx>
        <w:trPr>
          <w:trHeight w:val="1087" w:hRule="atLeast"/>
        </w:trPr>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color w:val="auto"/>
                <w:kern w:val="0"/>
                <w:sz w:val="24"/>
                <w:highlight w:val="none"/>
                <w:lang w:eastAsia="zh-CN"/>
              </w:rPr>
            </w:pPr>
            <w:r>
              <w:rPr>
                <w:rFonts w:hint="eastAsia" w:ascii="Times New Roman" w:hAnsi="Times New Roman" w:eastAsia="方正仿宋_GBK" w:cs="Times New Roman"/>
                <w:sz w:val="28"/>
                <w:szCs w:val="28"/>
                <w:highlight w:val="none"/>
                <w:lang w:eastAsia="zh-CN"/>
              </w:rPr>
              <w:t>舆情监测与研判处置服务采购项目</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left"/>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人民币：</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p>
            <w:pPr>
              <w:tabs>
                <w:tab w:val="left" w:pos="7665"/>
              </w:tabs>
              <w:spacing w:line="276" w:lineRule="auto"/>
              <w:jc w:val="lef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u w:val="none"/>
                <w:lang w:val="en-US" w:eastAsia="zh-CN"/>
              </w:rPr>
              <w:t>大写：</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报价应是最终用户验收合格后的总价，包括</w:t>
      </w:r>
      <w:r>
        <w:rPr>
          <w:rFonts w:hint="eastAsia" w:ascii="Times New Roman" w:hAnsi="Times New Roman" w:eastAsia="方正仿宋_GBK" w:cs="Times New Roman"/>
          <w:sz w:val="28"/>
          <w:szCs w:val="28"/>
          <w:highlight w:val="none"/>
          <w:lang w:val="en-US" w:eastAsia="zh-CN"/>
        </w:rPr>
        <w:t>完成本项目</w:t>
      </w:r>
      <w:r>
        <w:rPr>
          <w:rFonts w:ascii="Times New Roman" w:hAnsi="Times New Roman" w:eastAsia="方正仿宋_GBK" w:cs="Times New Roman"/>
          <w:sz w:val="28"/>
          <w:szCs w:val="28"/>
          <w:highlight w:val="none"/>
        </w:rPr>
        <w:t>和采购文件规定的其</w:t>
      </w:r>
      <w:r>
        <w:rPr>
          <w:rFonts w:hint="eastAsia" w:ascii="Times New Roman" w:hAnsi="Times New Roman" w:eastAsia="方正仿宋_GBK" w:cs="Times New Roman"/>
          <w:sz w:val="28"/>
          <w:szCs w:val="28"/>
          <w:highlight w:val="none"/>
          <w:lang w:val="en-US" w:eastAsia="zh-CN"/>
        </w:rPr>
        <w:t>他全部费用</w:t>
      </w:r>
      <w:r>
        <w:rPr>
          <w:rFonts w:ascii="Times New Roman" w:hAnsi="Times New Roman" w:eastAsia="方正仿宋_GBK" w:cs="Times New Roman"/>
          <w:sz w:val="28"/>
          <w:szCs w:val="28"/>
          <w:highlight w:val="none"/>
        </w:rPr>
        <w:t>。</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rPr>
          <w:rFonts w:eastAsia="方正小标宋_GBK"/>
          <w:b/>
          <w:bCs/>
          <w:sz w:val="28"/>
          <w:szCs w:val="28"/>
          <w:highlight w:val="none"/>
        </w:rPr>
      </w:pPr>
    </w:p>
    <w:p>
      <w:pPr>
        <w:pStyle w:val="2"/>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pStyle w:val="2"/>
        <w:rPr>
          <w:rFonts w:eastAsia="方正小标宋_GBK"/>
          <w:b/>
          <w:bCs/>
          <w:sz w:val="28"/>
          <w:szCs w:val="28"/>
          <w:highlight w:val="none"/>
        </w:rPr>
      </w:pPr>
    </w:p>
    <w:p/>
    <w:p>
      <w:pPr>
        <w:rPr>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rPr>
          <w:rFonts w:eastAsia="方正仿宋_GBK"/>
          <w:b/>
          <w:bCs/>
          <w:sz w:val="32"/>
          <w:szCs w:val="32"/>
          <w:highlight w:val="none"/>
        </w:rPr>
      </w:pPr>
    </w:p>
    <w:p>
      <w:pPr>
        <w:pStyle w:val="2"/>
      </w:pPr>
    </w:p>
    <w:p>
      <w:pPr>
        <w:rPr>
          <w:highlight w:val="none"/>
        </w:rPr>
      </w:pPr>
    </w:p>
    <w:p>
      <w:pPr>
        <w:spacing w:line="570" w:lineRule="atLeast"/>
        <w:jc w:val="center"/>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服务</w:t>
      </w:r>
      <w:r>
        <w:rPr>
          <w:rFonts w:ascii="Times New Roman" w:hAnsi="Times New Roman" w:eastAsia="方正仿宋_GBK" w:cs="Times New Roman"/>
          <w:b/>
          <w:bCs/>
          <w:sz w:val="32"/>
          <w:szCs w:val="32"/>
          <w:highlight w:val="none"/>
        </w:rPr>
        <w:t>质量保证书</w:t>
      </w:r>
    </w:p>
    <w:p>
      <w:pPr>
        <w:spacing w:line="570" w:lineRule="atLeast"/>
        <w:ind w:firstLine="630"/>
        <w:rPr>
          <w:rFonts w:hint="eastAsia" w:ascii="Times New Roman" w:hAnsi="Times New Roman" w:eastAsia="方正仿宋_GBK" w:cs="Times New Roman"/>
          <w:sz w:val="24"/>
          <w:highlight w:val="none"/>
          <w:lang w:val="en-US" w:eastAsia="zh-CN"/>
        </w:rPr>
      </w:pPr>
    </w:p>
    <w:p>
      <w:pPr>
        <w:pStyle w:val="2"/>
        <w:jc w:val="center"/>
        <w:rPr>
          <w:rFonts w:hint="eastAsia" w:eastAsia="方正仿宋_GBK" w:cs="Times New Roman"/>
          <w:b/>
          <w:bCs/>
          <w:sz w:val="24"/>
          <w:highlight w:val="none"/>
          <w:lang w:val="en-US" w:eastAsia="zh-CN"/>
        </w:rPr>
      </w:pPr>
      <w:r>
        <w:rPr>
          <w:rFonts w:hint="eastAsia" w:eastAsia="方正仿宋_GBK" w:cs="Times New Roman"/>
          <w:b/>
          <w:bCs/>
          <w:sz w:val="24"/>
          <w:highlight w:val="none"/>
          <w:lang w:val="en-US" w:eastAsia="zh-CN"/>
        </w:rPr>
        <w:t>格式自拟</w:t>
      </w:r>
    </w:p>
    <w:p>
      <w:pPr>
        <w:rPr>
          <w:rFonts w:hint="default"/>
          <w:highlight w:val="none"/>
          <w:lang w:val="en-US" w:eastAsia="zh-CN"/>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rPr>
          <w:rFonts w:ascii="Times New Roman" w:hAnsi="Times New Roman" w:eastAsia="方正仿宋_GBK" w:cs="Times New Roman"/>
          <w:sz w:val="22"/>
          <w:szCs w:val="22"/>
          <w:highlight w:val="none"/>
        </w:rPr>
      </w:pPr>
      <w:bookmarkStart w:id="0" w:name="_Toc237343703"/>
      <w:bookmarkStart w:id="1" w:name="_Toc174767233"/>
      <w:bookmarkStart w:id="2" w:name="_Toc9529516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pStyle w:val="2"/>
        <w:rPr>
          <w:rFonts w:ascii="Times New Roman" w:hAnsi="Times New Roman" w:eastAsia="方正仿宋_GBK" w:cs="Times New Roman"/>
          <w:b/>
          <w:bCs/>
          <w:sz w:val="28"/>
          <w:szCs w:val="28"/>
          <w:highlight w:val="none"/>
        </w:rPr>
      </w:pPr>
    </w:p>
    <w:p>
      <w:pPr>
        <w:rPr>
          <w:rFonts w:ascii="Times New Roman" w:hAnsi="Times New Roman" w:eastAsia="方正仿宋_GBK" w:cs="Times New Roman"/>
          <w:b/>
          <w:bCs/>
          <w:sz w:val="28"/>
          <w:szCs w:val="28"/>
          <w:highlight w:val="none"/>
        </w:rPr>
      </w:pPr>
    </w:p>
    <w:p>
      <w:pPr>
        <w:pStyle w:val="2"/>
        <w:rPr>
          <w:rFonts w:ascii="Times New Roman" w:hAnsi="Times New Roman" w:eastAsia="方正仿宋_GBK" w:cs="Times New Roman"/>
          <w:b/>
          <w:bCs/>
          <w:sz w:val="28"/>
          <w:szCs w:val="28"/>
          <w:highlight w:val="none"/>
        </w:rPr>
      </w:pPr>
    </w:p>
    <w:p>
      <w:pPr>
        <w:rPr>
          <w:rFonts w:ascii="Times New Roman" w:hAnsi="Times New Roman" w:eastAsia="方正仿宋_GBK" w:cs="Times New Roman"/>
          <w:b/>
          <w:bCs/>
          <w:sz w:val="28"/>
          <w:szCs w:val="28"/>
          <w:highlight w:val="none"/>
        </w:rPr>
      </w:pPr>
    </w:p>
    <w:p>
      <w:pPr>
        <w:pStyle w:val="2"/>
        <w:rPr>
          <w:highlight w:val="none"/>
        </w:rPr>
      </w:pPr>
    </w:p>
    <w:p>
      <w:pPr>
        <w:rPr>
          <w:highlight w:val="none"/>
        </w:rPr>
      </w:pPr>
    </w:p>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6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2026-03-06T06:03:52Z</dcterms:created>
  <dc:creator>OS</dc:creator>
  <cp:lastModifiedBy>們泊冬吴@^_^</cp:lastModifiedBy>
  <dcterms:modified xsi:type="dcterms:W3CDTF">2026-03-06T06:05:24Z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