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附件：</w:t>
      </w:r>
    </w:p>
    <w:p>
      <w:pPr>
        <w:pStyle w:val="2"/>
        <w:snapToGrid w:val="0"/>
        <w:spacing w:after="0" w:line="360" w:lineRule="auto"/>
        <w:rPr>
          <w:rFonts w:eastAsia="方正黑体_GBK"/>
          <w:sz w:val="28"/>
          <w:szCs w:val="28"/>
          <w:highlight w:val="none"/>
          <w14:ligatures w14:val="standardContextual"/>
        </w:rPr>
      </w:pPr>
      <w:r>
        <w:rPr>
          <w:rFonts w:hint="eastAsia" w:eastAsia="方正黑体_GBK"/>
          <w:sz w:val="28"/>
          <w:szCs w:val="28"/>
          <w:highlight w:val="none"/>
          <w14:ligatures w14:val="standardContextual"/>
        </w:rPr>
        <w:t>一</w:t>
      </w:r>
      <w:r>
        <w:rPr>
          <w:rFonts w:eastAsia="方正黑体_GBK"/>
          <w:sz w:val="28"/>
          <w:szCs w:val="28"/>
          <w:highlight w:val="none"/>
          <w14:ligatures w14:val="standardContextual"/>
        </w:rPr>
        <w:t>.项目名称：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一号楼七层行政区域改造项目第三方材料检测服务</w:t>
      </w:r>
      <w:r>
        <w:rPr>
          <w:rFonts w:hint="eastAsia" w:eastAsia="方正仿宋_GBK"/>
          <w:sz w:val="28"/>
          <w:szCs w:val="28"/>
          <w:highlight w:val="none"/>
          <w:lang w:val="en-US" w:eastAsia="zh-CN"/>
          <w14:ligatures w14:val="standardContextual"/>
        </w:rPr>
        <w:t>采购项目</w:t>
      </w:r>
      <w:r>
        <w:rPr>
          <w:rFonts w:eastAsia="方正仿宋_GBK"/>
          <w:sz w:val="28"/>
          <w:szCs w:val="28"/>
          <w:highlight w:val="none"/>
          <w14:ligatures w14:val="standardContextual"/>
        </w:rPr>
        <w:t>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黑体_GBK"/>
          <w:sz w:val="28"/>
          <w:szCs w:val="28"/>
          <w:highlight w:val="none"/>
          <w14:ligatures w14:val="standardContextual"/>
        </w:rPr>
        <w:t>二</w:t>
      </w:r>
      <w:r>
        <w:rPr>
          <w:rFonts w:eastAsia="方正黑体_GBK"/>
          <w:sz w:val="28"/>
          <w:szCs w:val="28"/>
          <w:highlight w:val="none"/>
          <w14:ligatures w14:val="standardContextual"/>
        </w:rPr>
        <w:t>.最高限价：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4</w:t>
      </w:r>
      <w:r>
        <w:rPr>
          <w:rFonts w:eastAsia="方正仿宋_GBK"/>
          <w:sz w:val="28"/>
          <w:szCs w:val="28"/>
          <w:highlight w:val="none"/>
          <w14:ligatures w14:val="standardContextual"/>
        </w:rPr>
        <w:t>万元。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响应报价不得超过最高限价，否则响应文件作无效处理。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黑体_GBK"/>
          <w:sz w:val="28"/>
          <w:szCs w:val="28"/>
          <w:highlight w:val="none"/>
          <w14:ligatures w14:val="standardContextual"/>
        </w:rPr>
        <w:t>三</w:t>
      </w:r>
      <w:r>
        <w:rPr>
          <w:rFonts w:eastAsia="方正黑体_GBK"/>
          <w:sz w:val="28"/>
          <w:szCs w:val="28"/>
          <w:highlight w:val="none"/>
          <w14:ligatures w14:val="standardContextual"/>
        </w:rPr>
        <w:t>.相关要求：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highlight w:val="none"/>
        </w:rPr>
        <w:t>★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（一）技术服务要求：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1.建筑结构材料：水泥、砂石、钢筋等，检测强度、抗渗等核心指标。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2.装饰装修材料：墙面漆、门窗等，检测甲醛、防火等级及环保性。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3.机电安装材料：电线电缆、配电箱等，检测导电、绝缘性能及安全合规性。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4.节能保温材料：保温板、砂浆等，检测导热系数、防火等级，符合节能设计。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5.防火材料：防火涂料、门窗等，检测耐火极限、阻燃性能，达标防火规范。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6.加固材料：碳纤维布、植筋胶等，检测抗拉、粘结强度，保障结构安全。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7.按需检测混凝土强度、防水闭水试验等，合规操作，避免损坏既有结构。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8.恪守“独立、公正、科学、严谨”原则，不受干预、按标执行，对检测数据及结论依法负责。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9.遵循国家、行业标准及设计文件，主要包括：GB 50204《混凝土结构工程施工质量验收规范》、GB 50210、GB 50207相关验收标准、GB 50411、GB 50205相关验收标准、项目图纸及业主专项要求。</w:t>
      </w:r>
    </w:p>
    <w:p>
      <w:pPr>
        <w:rPr>
          <w:rFonts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 w:cs="Times New Roman"/>
          <w:sz w:val="28"/>
          <w:szCs w:val="28"/>
          <w:highlight w:val="none"/>
          <w14:ligatures w14:val="standardContextual"/>
        </w:rPr>
        <w:t>10.送检材料清单</w:t>
      </w:r>
    </w:p>
    <w:tbl>
      <w:tblPr>
        <w:tblStyle w:val="5"/>
        <w:tblW w:w="87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650"/>
        <w:gridCol w:w="12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样品名称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暂定数量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钢筋原材复检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混凝土抗压强度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砂浆抗压强度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砌墙砖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植筋胶（I类A级）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6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水泥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7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防水涂料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8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陶瓷砖（墙面常规性能+放射性）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9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陶瓷砖（地面常规性能+放射性+摩擦系数+耐磨性）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10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碳纤维布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11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粘钢结构胶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12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碳纤维浸渍胶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13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室内非膨胀型钢结构防火涂料（常规性能）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14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型钢（钢板、角钢、矩管）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15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轻钢龙骨（吊顶2、隔墙2）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16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石膏板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17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水泥纤维板（燃烧性能A级）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18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岩棉板（常规性能）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19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石材（常规性能+放射性）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PVC 地胶（挥发物）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21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洁净板（甲醛）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22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无机涂料（有害物质）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23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木门（甲醛+含水率）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24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电工套管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25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电线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26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给水管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27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保温板（常规性能）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28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橡塑保温管（常规+燃烧性能）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29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插座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30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开关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</w:tr>
    </w:tbl>
    <w:p>
      <w:pPr>
        <w:pStyle w:val="4"/>
        <w:rPr>
          <w:highlight w:val="none"/>
        </w:rPr>
      </w:pPr>
    </w:p>
    <w:p>
      <w:pPr>
        <w:widowControl/>
        <w:adjustRightInd w:val="0"/>
        <w:snapToGrid w:val="0"/>
        <w:spacing w:after="0" w:line="360" w:lineRule="auto"/>
        <w:jc w:val="left"/>
        <w:rPr>
          <w:rFonts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（二）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14:ligatures w14:val="standardContextual"/>
        </w:rPr>
        <w:t>：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1.履行期限：自合同签订起</w:t>
      </w:r>
      <w:r>
        <w:rPr>
          <w:rFonts w:hint="eastAsia" w:eastAsia="方正仿宋_GBK"/>
          <w:sz w:val="28"/>
          <w:szCs w:val="28"/>
          <w:highlight w:val="none"/>
          <w:lang w:val="en-US" w:eastAsia="zh-CN"/>
          <w14:ligatures w14:val="standardContextual"/>
        </w:rPr>
        <w:t>到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一号楼七层行政区域改造</w:t>
      </w:r>
      <w:r>
        <w:rPr>
          <w:rFonts w:hint="eastAsia" w:eastAsia="方正仿宋_GBK"/>
          <w:sz w:val="28"/>
          <w:szCs w:val="28"/>
          <w:highlight w:val="none"/>
          <w:lang w:val="en-US" w:eastAsia="zh-CN"/>
          <w14:ligatures w14:val="standardContextual"/>
        </w:rPr>
        <w:t>项目竣工验收截止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2.履行地点：成都市金牛区妇幼保健院。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3.付款条件：一号楼七层行政区域改造</w:t>
      </w:r>
      <w:r>
        <w:rPr>
          <w:rFonts w:hint="eastAsia" w:eastAsia="方正仿宋_GBK"/>
          <w:sz w:val="28"/>
          <w:szCs w:val="28"/>
          <w:highlight w:val="none"/>
          <w:lang w:val="en-US" w:eastAsia="zh-CN"/>
          <w14:ligatures w14:val="standardContextual"/>
        </w:rPr>
        <w:t>竣工完成，检测报告齐全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后</w:t>
      </w:r>
      <w:r>
        <w:rPr>
          <w:rFonts w:hint="eastAsia" w:eastAsia="方正仿宋_GBK"/>
          <w:sz w:val="28"/>
          <w:szCs w:val="28"/>
          <w:highlight w:val="none"/>
          <w:lang w:val="en-US" w:eastAsia="zh-CN"/>
          <w14:ligatures w14:val="standardContextual"/>
        </w:rPr>
        <w:t>经甲方确认无误后，检测单位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出具的相等的增值税发票资料后30日内支付完成。资金支付方式：公款公户。</w:t>
      </w:r>
    </w:p>
    <w:p>
      <w:pPr>
        <w:pStyle w:val="2"/>
        <w:snapToGrid w:val="0"/>
        <w:spacing w:after="0" w:line="360" w:lineRule="auto"/>
        <w:rPr>
          <w:rFonts w:eastAsia="方正仿宋_GBK"/>
          <w:sz w:val="28"/>
          <w:szCs w:val="28"/>
          <w:highlight w:val="none"/>
          <w14:ligatures w14:val="standardContextual"/>
        </w:rPr>
      </w:pP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4.</w:t>
      </w:r>
      <w:r>
        <w:rPr>
          <w:rFonts w:hint="eastAsia" w:eastAsia="方正仿宋_GBK"/>
          <w:sz w:val="28"/>
          <w:szCs w:val="28"/>
          <w:highlight w:val="none"/>
          <w:lang w:val="zh-CN"/>
          <w14:ligatures w14:val="standardContextual"/>
        </w:rPr>
        <w:t>履约验收：</w:t>
      </w:r>
      <w:r>
        <w:rPr>
          <w:rFonts w:hint="eastAsia" w:eastAsia="方正仿宋_GBK"/>
          <w:sz w:val="28"/>
          <w:szCs w:val="28"/>
          <w:highlight w:val="none"/>
          <w14:ligatures w14:val="standardContextual"/>
        </w:rPr>
        <w:t>参照《财政部关于进一步加强政府采购需求和履约验收管理的指导意见》（财库〔2016〕205号）、《政府采购需求管理办法》（财库〔2021〕22号）的要求进行验收。</w:t>
      </w:r>
    </w:p>
    <w:p>
      <w:pPr>
        <w:snapToGrid w:val="0"/>
        <w:spacing w:after="0" w:line="360" w:lineRule="auto"/>
        <w:rPr>
          <w:rFonts w:hint="eastAsia" w:ascii="仿宋" w:hAnsi="仿宋" w:eastAsia="仿宋" w:cs="宋体"/>
          <w:b/>
          <w:bCs/>
          <w:kern w:val="0"/>
          <w:sz w:val="24"/>
          <w:highlight w:val="none"/>
        </w:rPr>
      </w:pPr>
    </w:p>
    <w:p>
      <w:pPr>
        <w:snapToGrid w:val="0"/>
        <w:spacing w:after="0" w:line="360" w:lineRule="auto"/>
        <w:rPr>
          <w:rFonts w:ascii="Times New Roman" w:hAnsi="Times New Roman" w:cs="Times New Roman"/>
          <w:highlight w:val="none"/>
        </w:rPr>
      </w:pPr>
      <w:r>
        <w:rPr>
          <w:rFonts w:ascii="仿宋" w:hAnsi="仿宋" w:eastAsia="仿宋" w:cs="宋体"/>
          <w:b/>
          <w:bCs/>
          <w:kern w:val="0"/>
          <w:sz w:val="24"/>
          <w:highlight w:val="none"/>
        </w:rPr>
        <w:t>以上标注“</w:t>
      </w:r>
      <w:r>
        <w:rPr>
          <w:rFonts w:hint="eastAsia" w:ascii="仿宋" w:hAnsi="仿宋" w:eastAsia="仿宋" w:cs="宋体"/>
          <w:b/>
          <w:bCs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kern w:val="0"/>
          <w:sz w:val="24"/>
          <w:highlight w:val="none"/>
        </w:rPr>
        <w:t>”号的为本次</w:t>
      </w:r>
      <w:r>
        <w:rPr>
          <w:rFonts w:hint="eastAsia" w:ascii="仿宋" w:hAnsi="仿宋" w:eastAsia="仿宋" w:cs="宋体"/>
          <w:b/>
          <w:bCs/>
          <w:kern w:val="0"/>
          <w:sz w:val="24"/>
          <w:highlight w:val="none"/>
        </w:rPr>
        <w:t>采购</w:t>
      </w:r>
      <w:r>
        <w:rPr>
          <w:rFonts w:ascii="仿宋" w:hAnsi="仿宋" w:eastAsia="仿宋" w:cs="宋体"/>
          <w:b/>
          <w:bCs/>
          <w:kern w:val="0"/>
          <w:sz w:val="24"/>
          <w:highlight w:val="none"/>
        </w:rPr>
        <w:t>项目的的实质性要求，供应商应全部满足</w:t>
      </w:r>
      <w:r>
        <w:rPr>
          <w:rFonts w:hint="eastAsia" w:ascii="仿宋" w:hAnsi="仿宋" w:eastAsia="仿宋" w:cs="宋体"/>
          <w:b/>
          <w:bCs/>
          <w:kern w:val="0"/>
          <w:sz w:val="24"/>
          <w:highlight w:val="none"/>
        </w:rPr>
        <w:t>。</w:t>
      </w:r>
    </w:p>
    <w:p>
      <w:pPr>
        <w:spacing w:after="0"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5"/>
        <w:tblW w:w="9450" w:type="dxa"/>
        <w:tblInd w:w="-8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13"/>
        <w:gridCol w:w="1625"/>
        <w:gridCol w:w="1962"/>
        <w:gridCol w:w="27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样品名称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暂定数量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单价报价（元）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分项报价合计（元）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钢筋原材复检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混凝土抗压强度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砂浆抗压强度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砌墙砖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植筋胶（I类A级）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水泥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防水涂料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陶瓷砖（墙面常规性能+放射性）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陶瓷砖（地面常规性能+放射性+摩擦系数+耐磨性）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碳纤维布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粘钢结构胶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碳纤维浸渍胶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室内非膨胀型钢结构防火涂料（常规性能）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型钢（钢板、角钢、矩管）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轻钢龙骨（吊顶2、隔墙2）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石膏板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水泥纤维板（燃烧性能A级）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岩棉板（常规性能）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石材（常规性能+放射性）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PVC 地胶（挥发物）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洁净板（甲醛）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无机涂料（有害物质）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木门（甲醛+含水率）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电工套管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电线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给水管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保温板（常规性能）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橡塑保温管（常规+燃烧性能）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29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插座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开关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31</w:t>
            </w:r>
          </w:p>
        </w:tc>
        <w:tc>
          <w:tcPr>
            <w:tcW w:w="8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总报价：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元（大写：        ）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1.报价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应是完成本项目所有采购内容和文件规定的其它全部费用，最终用户验收合格后的总价。</w:t>
      </w:r>
    </w:p>
    <w:p>
      <w:pPr>
        <w:tabs>
          <w:tab w:val="left" w:pos="2142"/>
        </w:tabs>
        <w:spacing w:line="570" w:lineRule="atLeast"/>
        <w:ind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3"/>
        <w:jc w:val="both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3"/>
        <w:rPr>
          <w:highlight w:val="none"/>
        </w:rPr>
      </w:pPr>
    </w:p>
    <w:p>
      <w:pPr>
        <w:rPr>
          <w:highlight w:val="none"/>
        </w:rPr>
      </w:pPr>
    </w:p>
    <w:p>
      <w:pPr>
        <w:pStyle w:val="3"/>
        <w:jc w:val="both"/>
        <w:rPr>
          <w:highlight w:val="none"/>
        </w:rPr>
      </w:pPr>
      <w:bookmarkStart w:id="3" w:name="_GoBack"/>
      <w:bookmarkEnd w:id="3"/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3"/>
        <w:rPr>
          <w:highlight w:val="none"/>
        </w:rPr>
      </w:pPr>
    </w:p>
    <w:p>
      <w:pPr>
        <w:rPr>
          <w:highlight w:val="none"/>
        </w:rPr>
      </w:pPr>
    </w:p>
    <w:p>
      <w:pPr>
        <w:spacing w:after="120" w:line="570" w:lineRule="atLeast"/>
        <w:jc w:val="center"/>
        <w:rPr>
          <w:rFonts w:ascii="Times New Roman" w:hAnsi="Times New Roman" w:eastAsia="方正小标宋_GBK" w:cs="Times New Roman"/>
          <w:sz w:val="28"/>
          <w:szCs w:val="22"/>
          <w:highlight w:val="none"/>
        </w:rPr>
      </w:pPr>
      <w:r>
        <w:rPr>
          <w:rFonts w:ascii="Times New Roman" w:hAnsi="Times New Roman" w:eastAsia="方正小标宋_GBK" w:cs="Times New Roman"/>
          <w:sz w:val="28"/>
          <w:szCs w:val="22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3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bookmarkStart w:id="0" w:name="_Toc174767233"/>
      <w:bookmarkStart w:id="1" w:name="_Toc237343703"/>
      <w:bookmarkStart w:id="2" w:name="_Toc95295163"/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sz w:val="24"/>
          <w:highlight w:val="none"/>
        </w:rPr>
        <w:t>供应商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ascii="Times New Roman" w:hAnsi="Times New Roman" w:eastAsia="方正小标宋_GBK" w:cs="Times New Roman"/>
          <w:sz w:val="28"/>
          <w:szCs w:val="22"/>
          <w:highlight w:val="none"/>
        </w:rPr>
      </w:pPr>
      <w:r>
        <w:rPr>
          <w:rFonts w:ascii="Times New Roman" w:hAnsi="Times New Roman" w:eastAsia="方正小标宋_GBK" w:cs="Times New Roman"/>
          <w:sz w:val="28"/>
          <w:szCs w:val="22"/>
          <w:highlight w:val="none"/>
        </w:rPr>
        <w:br w:type="page"/>
      </w:r>
    </w:p>
    <w:p>
      <w:pPr>
        <w:spacing w:after="120" w:line="570" w:lineRule="atLeast"/>
        <w:jc w:val="center"/>
        <w:rPr>
          <w:rFonts w:ascii="Times New Roman" w:hAnsi="Times New Roman" w:eastAsia="方正小标宋_GBK" w:cs="Times New Roman"/>
          <w:sz w:val="28"/>
          <w:szCs w:val="22"/>
          <w:highlight w:val="none"/>
        </w:rPr>
      </w:pPr>
      <w:r>
        <w:rPr>
          <w:rFonts w:ascii="Times New Roman" w:hAnsi="Times New Roman" w:eastAsia="方正小标宋_GBK" w:cs="Times New Roman"/>
          <w:sz w:val="28"/>
          <w:szCs w:val="22"/>
          <w:highlight w:val="none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  <w:rPr>
          <w:rFonts w:ascii="Times New Roman" w:hAnsi="Times New Roman" w:eastAsia="方正仿宋_GBK" w:cs="Times New Roman"/>
          <w:kern w:val="0"/>
          <w:sz w:val="24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Chars="200"/>
        <w:jc w:val="left"/>
      </w:pPr>
      <w:r>
        <w:rPr>
          <w:rFonts w:ascii="Times New Roman" w:hAnsi="Times New Roman" w:eastAsia="方正仿宋_GBK" w:cs="Times New Roman"/>
          <w:kern w:val="0"/>
          <w:sz w:val="24"/>
          <w:highlight w:val="none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4">
    <w:name w:val="Plain Text"/>
    <w:basedOn w:val="1"/>
    <w:qFormat/>
    <w:uiPriority w:val="0"/>
    <w:pPr>
      <w:spacing w:after="0" w:line="240" w:lineRule="auto"/>
    </w:pPr>
    <w:rPr>
      <w:rFonts w:ascii="宋体" w:hAnsi="Courier New" w:eastAsia="宋体" w:cs="Courier New"/>
      <w:szCs w:val="21"/>
    </w:rPr>
  </w:style>
  <w:style w:type="table" w:styleId="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2026-01-26T02:12:13Z</dcterms:created>
  <dc:creator>OS</dc:creator>
  <cp:lastModifiedBy>們泊冬吴@^_^</cp:lastModifiedBy>
  <dcterms:modified xsi:type="dcterms:W3CDTF">2026-01-26T02:14:05Z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