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附件：</w:t>
      </w:r>
    </w:p>
    <w:p>
      <w:pPr>
        <w:pStyle w:val="2"/>
        <w:spacing w:line="570" w:lineRule="atLeast"/>
        <w:rPr>
          <w:rFonts w:hint="default" w:ascii="Times New Roman" w:hAnsi="Times New Roman" w:eastAsia="方正黑体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一</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.项目名称：</w:t>
      </w:r>
      <w:r>
        <w:rPr>
          <w:rFonts w:hint="eastAsia" w:eastAsia="方正仿宋_GBK" w:cs="Times New Roman"/>
          <w:color w:val="auto"/>
          <w:kern w:val="2"/>
          <w:sz w:val="28"/>
          <w:szCs w:val="28"/>
          <w:highlight w:val="none"/>
          <w:lang w:val="en-US" w:eastAsia="zh-CN" w:bidi="ar-SA"/>
          <w14:ligatures w14:val="standardContextual"/>
        </w:rPr>
        <w:t>更换一号楼四至八层过道木质防火门采购项目</w:t>
      </w:r>
      <w:r>
        <w:rPr>
          <w:rFonts w:hint="default"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二</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.最高限价：</w:t>
      </w:r>
      <w:r>
        <w:rPr>
          <w:rFonts w:hint="eastAsia" w:eastAsia="方正仿宋_GBK" w:cs="Times New Roman"/>
          <w:color w:val="auto"/>
          <w:kern w:val="2"/>
          <w:sz w:val="28"/>
          <w:szCs w:val="28"/>
          <w:lang w:val="en-US" w:eastAsia="zh-CN" w:bidi="ar-SA"/>
          <w14:ligatures w14:val="standardContextual"/>
        </w:rPr>
        <w:t>3</w:t>
      </w:r>
      <w:r>
        <w:rPr>
          <w:rFonts w:hint="default" w:ascii="Times New Roman" w:hAnsi="Times New Roman" w:eastAsia="方正仿宋_GBK" w:cs="Times New Roman"/>
          <w:color w:val="auto"/>
          <w:kern w:val="2"/>
          <w:sz w:val="28"/>
          <w:szCs w:val="28"/>
          <w:lang w:val="en-US" w:eastAsia="zh-CN" w:bidi="ar-SA"/>
          <w14:ligatures w14:val="standardContextual"/>
        </w:rPr>
        <w:t>万元</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三</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.相关要求：</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仿宋_GBK" w:cs="Times New Roman"/>
          <w:color w:val="auto"/>
          <w:kern w:val="2"/>
          <w:sz w:val="28"/>
          <w:szCs w:val="28"/>
          <w:lang w:val="en-US" w:eastAsia="zh-CN" w:bidi="ar-SA"/>
          <w14:ligatures w14:val="standardContextual"/>
        </w:rPr>
        <w:t>（一）改造内容及要求：</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1.现场复核原有木质防火门的洞口尺寸、开启方向、防火等级、安装位置。</w:t>
      </w:r>
    </w:p>
    <w:p>
      <w:pPr>
        <w:pStyle w:val="2"/>
        <w:spacing w:line="570" w:lineRule="atLeast"/>
        <w:rPr>
          <w:rFonts w:hint="default"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2.人工拆除原有木质防火门、门框、闭门器、顺位器、防火锁等全部配件，严禁暴力拆解破坏洞口墙体结构，避免墙体掉块、钢筋外露，对拆除后洞口边缘进行修边、找平，补全破损的防火封堵层。</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3.及时清理拆除的木质废料，避免堆积，对洞口尺寸偏差＞5mm 的部位，采用防火砂浆、防火板材进行收口处理，确保新门安装的基层平整度、垂直度达标。</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4.门框固定：采用膨胀螺栓（适配墙体材质）固定，螺栓间距≤600mm，门框与墙体间隙用防火岩棉 + 防火密封胶分层封堵，缝隙宽度＞20mm 时增加防火填充板材，确保无透烟、透火缝隙。</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5.门扇安装：按标定开启方向吊装门扇，调整合页位置保证门扇启闭灵活，无卡滞、异响，关闭后与门框贴合紧密，贴合间隙≤3mm（门扇与门框上缝 / 侧缝）、≤5mm（门扇与地面缝，可适当调整但需满足防火要求）。</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6.附属配件安装：同步安装防火锁、闭门器、顺位器（双扇门必备）、防火密封条（门框 / 门扇全周设置，遇热膨胀型），涉及原安装有门禁系统的防火门须进行恢复，需采用防火型门禁配件，确保门禁线路穿管封堵符合防火要求。</w:t>
      </w:r>
    </w:p>
    <w:p>
      <w:pPr>
        <w:rPr>
          <w:rFonts w:hint="default" w:ascii="Times New Roman" w:hAnsi="Times New Roman"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7</w:t>
      </w:r>
      <w:r>
        <w:rPr>
          <w:rFonts w:hint="eastAsia" w:ascii="Times New Roman" w:hAnsi="Times New Roman" w:eastAsia="方正仿宋_GBK" w:cs="Times New Roman"/>
          <w:color w:val="auto"/>
          <w:kern w:val="2"/>
          <w:sz w:val="28"/>
          <w:szCs w:val="28"/>
          <w:lang w:val="en-US" w:eastAsia="zh-CN" w:bidi="ar-SA"/>
          <w14:ligatures w14:val="standardContextual"/>
        </w:rPr>
        <w:t>.钢制防火门严格按原有木质防火门的防火等级执行，不得降低标准，提供消防产品型式检验报告、3C 认证证书、出厂合格证，及防火密封胶、防火岩棉、闭门器等配件的合格证明、检测报告。</w:t>
      </w:r>
    </w:p>
    <w:p>
      <w:pPr>
        <w:pStyle w:val="2"/>
        <w:spacing w:line="570" w:lineRule="atLeast"/>
        <w:rPr>
          <w:rFonts w:hint="default" w:ascii="Times New Roman" w:hAnsi="Times New Roman"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8.修补恢复因施工导致的周围受损地面、墙面、附加设施等，确保正常使用。</w:t>
      </w:r>
    </w:p>
    <w:p>
      <w:pPr>
        <w:widowControl/>
        <w:adjustRightInd w:val="0"/>
        <w:snapToGrid w:val="0"/>
        <w:spacing w:line="360" w:lineRule="auto"/>
        <w:ind w:firstLine="0" w:firstLineChars="0"/>
        <w:jc w:val="left"/>
        <w:rPr>
          <w:rFonts w:hint="eastAsia" w:ascii="Times New Roman" w:hAnsi="Times New Roman" w:eastAsia="方正仿宋_GBK" w:cs="Times New Roman"/>
          <w:color w:val="auto"/>
          <w:kern w:val="2"/>
          <w:sz w:val="28"/>
          <w:szCs w:val="28"/>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color w:val="auto"/>
          <w:kern w:val="2"/>
          <w:sz w:val="28"/>
          <w:szCs w:val="28"/>
          <w:lang w:val="en-US" w:eastAsia="zh-CN" w:bidi="ar-SA"/>
          <w14:ligatures w14:val="standardContextual"/>
        </w:rPr>
        <w:t>（二）</w:t>
      </w:r>
      <w:r>
        <w:rPr>
          <w:rFonts w:hint="default" w:ascii="Times New Roman" w:hAnsi="Times New Roman" w:eastAsia="方正仿宋_GBK" w:cs="Times New Roman"/>
          <w:color w:val="auto"/>
          <w:kern w:val="2"/>
          <w:sz w:val="28"/>
          <w:szCs w:val="28"/>
          <w:lang w:val="en-US" w:eastAsia="zh-CN" w:bidi="ar-SA"/>
          <w14:ligatures w14:val="standardContextual"/>
        </w:rPr>
        <w:t>商务服务要求</w:t>
      </w:r>
      <w:r>
        <w:rPr>
          <w:rFonts w:hint="eastAsia" w:ascii="Times New Roman" w:hAnsi="Times New Roman" w:eastAsia="方正仿宋_GBK" w:cs="Times New Roman"/>
          <w:color w:val="auto"/>
          <w:kern w:val="2"/>
          <w:sz w:val="28"/>
          <w:szCs w:val="28"/>
          <w:lang w:val="en-US" w:eastAsia="zh-CN" w:bidi="ar-SA"/>
          <w14:ligatures w14:val="standardContextual"/>
        </w:rPr>
        <w:t>：</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1.履行期限：自合同签订起10个工作日内。</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2.履行地点：成都市金牛区妇幼保健院</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3.付款条件：施工工程整体竣工验收合格后供应商出具的相等的增值税发票资料后30日内支付完成。资金支付方式：公款公户。</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4.质量保修范围和保修期：由于乙方原因造成质量问题，乙方无条件地进行维修。保修期12个月（防水工程质保5年），保修期自</w:t>
      </w:r>
      <w:bookmarkStart w:id="0" w:name="OLE_LINK5"/>
      <w:r>
        <w:rPr>
          <w:rFonts w:hint="eastAsia" w:eastAsia="方正仿宋_GBK" w:cs="Times New Roman"/>
          <w:color w:val="auto"/>
          <w:kern w:val="2"/>
          <w:sz w:val="28"/>
          <w:szCs w:val="28"/>
          <w:lang w:val="en-US" w:eastAsia="zh-CN" w:bidi="ar-SA"/>
          <w14:ligatures w14:val="standardContextual"/>
        </w:rPr>
        <w:t>施工工程整体竣工验收合格</w:t>
      </w:r>
      <w:bookmarkEnd w:id="0"/>
      <w:r>
        <w:rPr>
          <w:rFonts w:hint="eastAsia" w:eastAsia="方正仿宋_GBK" w:cs="Times New Roman"/>
          <w:color w:val="auto"/>
          <w:kern w:val="2"/>
          <w:sz w:val="28"/>
          <w:szCs w:val="28"/>
          <w:lang w:val="en-US" w:eastAsia="zh-CN" w:bidi="ar-SA"/>
          <w14:ligatures w14:val="standardContextual"/>
        </w:rPr>
        <w:t>之日起计算。</w:t>
      </w:r>
    </w:p>
    <w:p>
      <w:pPr>
        <w:pStyle w:val="2"/>
        <w:spacing w:line="570" w:lineRule="atLeast"/>
        <w:rPr>
          <w:rFonts w:hint="eastAsia" w:eastAsia="方正仿宋_GBK" w:cs="Times New Roman"/>
          <w:color w:val="auto"/>
          <w:kern w:val="2"/>
          <w:sz w:val="28"/>
          <w:szCs w:val="28"/>
          <w:lang w:val="en-US" w:eastAsia="zh-CN" w:bidi="ar-SA"/>
          <w14:ligatures w14:val="standardContextual"/>
        </w:rPr>
      </w:pPr>
      <w:r>
        <w:rPr>
          <w:rFonts w:hint="eastAsia" w:eastAsia="方正仿宋_GBK" w:cs="Times New Roman"/>
          <w:color w:val="auto"/>
          <w:kern w:val="2"/>
          <w:sz w:val="28"/>
          <w:szCs w:val="28"/>
          <w:lang w:val="en-US" w:eastAsia="zh-CN" w:bidi="ar-SA"/>
          <w14:ligatures w14:val="standardContextual"/>
        </w:rPr>
        <w:t>5.责任与解决方法：产品保修期内若产生质量问题，卖方无条件保修包换。产品过保修期后产生质量问题，由采购人和施工方协商解决。</w:t>
      </w:r>
    </w:p>
    <w:p>
      <w:pPr>
        <w:pStyle w:val="2"/>
        <w:rPr>
          <w:rFonts w:hint="eastAsia"/>
          <w:color w:val="auto"/>
          <w:lang w:val="en-US" w:eastAsia="zh-CN"/>
        </w:rPr>
      </w:pPr>
    </w:p>
    <w:p>
      <w:pPr>
        <w:spacing w:line="570" w:lineRule="atLeast"/>
        <w:rPr>
          <w:rFonts w:hint="eastAsia" w:ascii="Times New Roman" w:hAnsi="Times New Roman" w:eastAsia="方正仿宋_GBK" w:cs="Times New Roman"/>
          <w:color w:val="auto"/>
          <w:kern w:val="2"/>
          <w:sz w:val="28"/>
          <w:szCs w:val="28"/>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color w:val="auto"/>
          <w:kern w:val="2"/>
          <w:sz w:val="28"/>
          <w:szCs w:val="28"/>
          <w:lang w:val="en-US" w:eastAsia="zh-CN" w:bidi="ar-SA"/>
          <w14:ligatures w14:val="standardContextual"/>
        </w:rPr>
        <w:t>（三）工程清单：</w:t>
      </w:r>
    </w:p>
    <w:tbl>
      <w:tblPr>
        <w:tblStyle w:val="3"/>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538"/>
        <w:gridCol w:w="4351"/>
        <w:gridCol w:w="987"/>
        <w:gridCol w:w="479"/>
        <w:gridCol w:w="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3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分项名称</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项目特征</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暂定工程量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原防火门拆除</w:t>
            </w:r>
          </w:p>
        </w:tc>
        <w:tc>
          <w:tcPr>
            <w:tcW w:w="43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及时清理拆除的木质废料，避免堆积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35"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新钢制防火门安装</w:t>
            </w:r>
          </w:p>
        </w:tc>
        <w:tc>
          <w:tcPr>
            <w:tcW w:w="43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钢制防火门严格按原有木质防火门的防火等级执行，不得降低标准，提供消防产品型式检验报告、3C 认证证书、出厂合格证，及防火密封胶、防火岩棉、闭门器等配件的合格证明、检测报告。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门边抹灰修补</w:t>
            </w:r>
          </w:p>
        </w:tc>
        <w:tc>
          <w:tcPr>
            <w:tcW w:w="43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1.对洞口尺寸偏差＞5mm 的部位，采用防火砂浆、防火板材进行收口处理。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2.确保新门安装的基层平整度、垂直度达标</w:t>
            </w:r>
            <w:r>
              <w:rPr>
                <w:rFonts w:hint="eastAsia" w:eastAsia="方正仿宋_GBK" w:cs="Times New Roman"/>
                <w:color w:val="auto"/>
                <w:kern w:val="2"/>
                <w:sz w:val="20"/>
                <w:szCs w:val="20"/>
                <w:lang w:val="en-US" w:eastAsia="zh-CN" w:bidi="ar-SA"/>
                <w14:ligatures w14:val="standardContextual"/>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3"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门边乳胶漆修补</w:t>
            </w:r>
          </w:p>
        </w:tc>
        <w:tc>
          <w:tcPr>
            <w:tcW w:w="43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修补颜色与周边无色差</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门禁利旧安装</w:t>
            </w:r>
          </w:p>
        </w:tc>
        <w:tc>
          <w:tcPr>
            <w:tcW w:w="43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eastAsia="方正仿宋_GBK" w:cs="Times New Roman"/>
                <w:color w:val="auto"/>
                <w:kern w:val="2"/>
                <w:sz w:val="20"/>
                <w:szCs w:val="20"/>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rPr>
              <w:t>功能原样恢复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7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3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建渣清运</w:t>
            </w:r>
          </w:p>
        </w:tc>
        <w:tc>
          <w:tcPr>
            <w:tcW w:w="43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lang w:val="en-US" w:eastAsia="zh-CN"/>
              </w:rPr>
            </w:pPr>
          </w:p>
          <w:p>
            <w:pPr>
              <w:pStyle w:val="2"/>
              <w:rPr>
                <w:rFonts w:hint="default"/>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bl>
    <w:p>
      <w:pPr>
        <w:spacing w:line="570" w:lineRule="atLeast"/>
        <w:rPr>
          <w:rFonts w:hint="default" w:ascii="仿宋" w:hAnsi="仿宋" w:eastAsia="仿宋" w:cs="宋体"/>
          <w:b/>
          <w:bCs/>
          <w:color w:val="auto"/>
          <w:kern w:val="0"/>
          <w:sz w:val="24"/>
          <w:highlight w:val="none"/>
          <w:lang w:val="en-US" w:eastAsia="zh-CN"/>
        </w:rPr>
      </w:pPr>
    </w:p>
    <w:p>
      <w:pPr>
        <w:spacing w:line="570" w:lineRule="atLeast"/>
        <w:rPr>
          <w:rFonts w:hint="default" w:ascii="Times New Roman" w:hAnsi="Times New Roman" w:cs="Times New Roman"/>
          <w:color w:val="auto"/>
          <w:highlight w:val="none"/>
          <w:lang w:val="en-US" w:eastAsia="zh-CN"/>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after="0" w:line="570" w:lineRule="atLeast"/>
        <w:rPr>
          <w:rFonts w:hint="default" w:ascii="Times New Roman" w:hAnsi="Times New Roman" w:cs="Times New Roman"/>
          <w:color w:val="auto"/>
          <w:highlight w:val="none"/>
          <w:lang w:val="en-US" w:eastAsia="zh-CN"/>
        </w:rPr>
      </w:pPr>
    </w:p>
    <w:p>
      <w:pPr>
        <w:pStyle w:val="2"/>
        <w:spacing w:line="570" w:lineRule="atLeast"/>
        <w:rPr>
          <w:color w:val="auto"/>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shd w:val="clear" w:color="auto" w:fill="FFFFFF"/>
        <w:wordWrap w:val="0"/>
        <w:spacing w:line="570" w:lineRule="atLeast"/>
        <w:jc w:val="center"/>
        <w:rPr>
          <w:rFonts w:ascii="Times New Roman" w:hAnsi="Times New Roman" w:eastAsia="方正小标宋_GBK" w:cs="Times New Roman"/>
          <w:color w:val="auto"/>
          <w:kern w:val="0"/>
          <w:sz w:val="32"/>
          <w:szCs w:val="32"/>
          <w:highlight w:val="none"/>
        </w:rPr>
      </w:pPr>
      <w:r>
        <w:rPr>
          <w:rFonts w:ascii="Times New Roman" w:hAnsi="Times New Roman" w:eastAsia="方正小标宋_GBK" w:cs="Times New Roman"/>
          <w:color w:val="auto"/>
          <w:kern w:val="0"/>
          <w:sz w:val="32"/>
          <w:szCs w:val="32"/>
          <w:highlight w:val="none"/>
        </w:rPr>
        <w:t>报价表</w:t>
      </w:r>
    </w:p>
    <w:tbl>
      <w:tblPr>
        <w:tblStyle w:val="3"/>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293"/>
        <w:gridCol w:w="3154"/>
        <w:gridCol w:w="744"/>
        <w:gridCol w:w="992"/>
        <w:gridCol w:w="818"/>
        <w:gridCol w:w="806"/>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分项名称</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项目特征</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暂定工程量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含税单价（元）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合价（元）</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原防火门拆除</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及时清理拆除的木质废料，避免堆积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新钢制防火门安装</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钢制防火门严格按原有木质防火门的防火等级执行，不得降低标准，提供消防产品型式检验报告、3C 认证证书、出厂合格证，及防火密封胶、防火岩棉、闭门器等配件的合格证明、检测报告。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门边抹灰修补</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1.对洞口尺寸偏差＞5mm 的部位，采用防火砂浆、防火板材进行收口处理。</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2.确保新门安装的基层平整度、垂直度达标。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门边乳胶漆修补</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修补颜色与周边无色差</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门禁利旧安装</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功能原样恢复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9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建渣清运</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bl>
    <w:p>
      <w:pPr>
        <w:tabs>
          <w:tab w:val="left" w:pos="2142"/>
        </w:tabs>
        <w:spacing w:line="570" w:lineRule="atLeast"/>
        <w:rPr>
          <w:rFonts w:ascii="Times New Roman" w:hAnsi="Times New Roman" w:eastAsia="方正仿宋_GBK" w:cs="Times New Roman"/>
          <w:b/>
          <w:bCs/>
          <w:color w:val="auto"/>
          <w:sz w:val="28"/>
          <w:szCs w:val="28"/>
          <w:highlight w:val="none"/>
        </w:rPr>
      </w:pPr>
      <w:r>
        <w:rPr>
          <w:rFonts w:ascii="Times New Roman" w:hAnsi="Times New Roman" w:eastAsia="方正仿宋_GBK" w:cs="Times New Roman"/>
          <w:b/>
          <w:bCs/>
          <w:color w:val="auto"/>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color w:val="auto"/>
          <w:sz w:val="28"/>
          <w:szCs w:val="28"/>
          <w:highlight w:val="none"/>
        </w:rPr>
      </w:pPr>
      <w:r>
        <w:rPr>
          <w:rFonts w:ascii="Times New Roman" w:hAnsi="Times New Roman" w:eastAsia="方正仿宋_GBK" w:cs="Times New Roman"/>
          <w:b/>
          <w:bCs/>
          <w:color w:val="auto"/>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供应商名称：（盖章）</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法定代表人或授权代表（签字）：</w:t>
      </w:r>
    </w:p>
    <w:p>
      <w:pPr>
        <w:tabs>
          <w:tab w:val="left" w:pos="2142"/>
        </w:tabs>
        <w:spacing w:line="570" w:lineRule="atLeas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日期：</w:t>
      </w:r>
    </w:p>
    <w:p>
      <w:pPr>
        <w:spacing w:line="570" w:lineRule="atLeast"/>
        <w:jc w:val="cente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pStyle w:val="2"/>
        <w:rPr>
          <w:rFonts w:ascii="Times New Roman" w:hAnsi="Times New Roman" w:eastAsia="方正小标宋_GBK" w:cs="Times New Roman"/>
          <w:b/>
          <w:bCs/>
          <w:color w:val="auto"/>
          <w:sz w:val="28"/>
          <w:szCs w:val="28"/>
          <w:highlight w:val="none"/>
        </w:rPr>
      </w:pPr>
    </w:p>
    <w:p>
      <w:pPr>
        <w:rPr>
          <w:rFonts w:ascii="Times New Roman" w:hAnsi="Times New Roman" w:eastAsia="方正小标宋_GBK" w:cs="Times New Roman"/>
          <w:b/>
          <w:bCs/>
          <w:color w:val="auto"/>
          <w:sz w:val="28"/>
          <w:szCs w:val="28"/>
          <w:highlight w:val="none"/>
        </w:rPr>
      </w:pPr>
    </w:p>
    <w:p>
      <w:pPr>
        <w:rPr>
          <w:color w:val="auto"/>
          <w:highlight w:val="none"/>
        </w:rPr>
      </w:pPr>
    </w:p>
    <w:p>
      <w:pPr>
        <w:tabs>
          <w:tab w:val="left" w:pos="6300"/>
        </w:tabs>
        <w:spacing w:line="570" w:lineRule="atLeas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响应表</w:t>
      </w:r>
    </w:p>
    <w:p>
      <w:pPr>
        <w:tabs>
          <w:tab w:val="left" w:pos="6300"/>
        </w:tabs>
        <w:spacing w:line="570" w:lineRule="atLeast"/>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color w:val="auto"/>
                <w:sz w:val="24"/>
                <w:highlight w:val="none"/>
              </w:rPr>
            </w:pPr>
          </w:p>
        </w:tc>
      </w:tr>
    </w:tbl>
    <w:p>
      <w:pPr>
        <w:tabs>
          <w:tab w:val="left" w:pos="6300"/>
        </w:tabs>
        <w:spacing w:line="570" w:lineRule="atLeast"/>
        <w:ind w:firstLine="573"/>
        <w:rPr>
          <w:rFonts w:ascii="Times New Roman" w:hAnsi="Times New Roman" w:eastAsia="方正仿宋_GBK" w:cs="Times New Roman"/>
          <w:color w:val="auto"/>
          <w:sz w:val="24"/>
          <w:highlight w:val="none"/>
        </w:rPr>
      </w:pP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kern w:val="0"/>
          <w:sz w:val="24"/>
          <w:highlight w:val="none"/>
        </w:rPr>
        <w:t>投标人</w:t>
      </w:r>
      <w:r>
        <w:rPr>
          <w:rFonts w:ascii="Times New Roman" w:hAnsi="Times New Roman" w:eastAsia="方正仿宋_GBK" w:cs="Times New Roman"/>
          <w:color w:val="auto"/>
          <w:sz w:val="24"/>
          <w:highlight w:val="none"/>
        </w:rPr>
        <w:t>名称（加盖公章）：XXX</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 期：XXX年XXX月XXX日</w:t>
      </w:r>
    </w:p>
    <w:p>
      <w:pPr>
        <w:spacing w:line="570" w:lineRule="atLeast"/>
        <w:jc w:val="center"/>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spacing w:line="570" w:lineRule="atLeast"/>
        <w:rPr>
          <w:rFonts w:ascii="Times New Roman" w:hAnsi="Times New Roman" w:eastAsia="方正仿宋_GBK" w:cs="Times New Roman"/>
          <w:b/>
          <w:bCs/>
          <w:color w:val="auto"/>
          <w:sz w:val="32"/>
          <w:szCs w:val="32"/>
          <w:highlight w:val="none"/>
        </w:rPr>
      </w:pPr>
    </w:p>
    <w:p>
      <w:pPr>
        <w:rPr>
          <w:rFonts w:eastAsia="方正仿宋_GBK"/>
          <w:b/>
          <w:bCs/>
          <w:color w:val="auto"/>
          <w:sz w:val="32"/>
          <w:szCs w:val="32"/>
          <w:highlight w:val="none"/>
        </w:rPr>
      </w:pPr>
    </w:p>
    <w:p>
      <w:pPr>
        <w:spacing w:line="570" w:lineRule="atLeast"/>
        <w:rPr>
          <w:rFonts w:ascii="Times New Roman" w:hAnsi="Times New Roman" w:eastAsia="方正仿宋_GBK" w:cs="Times New Roman"/>
          <w:b/>
          <w:bCs/>
          <w:color w:val="auto"/>
          <w:sz w:val="32"/>
          <w:szCs w:val="32"/>
          <w:highlight w:val="none"/>
        </w:rPr>
      </w:pPr>
    </w:p>
    <w:p>
      <w:pPr>
        <w:pStyle w:val="2"/>
        <w:spacing w:line="570" w:lineRule="atLeast"/>
        <w:rPr>
          <w:rFonts w:eastAsia="方正仿宋_GBK"/>
          <w:b/>
          <w:bCs/>
          <w:color w:val="auto"/>
          <w:sz w:val="32"/>
          <w:szCs w:val="32"/>
          <w:highlight w:val="none"/>
        </w:rPr>
      </w:pPr>
    </w:p>
    <w:p>
      <w:pPr>
        <w:spacing w:line="570" w:lineRule="atLeast"/>
        <w:jc w:val="center"/>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质量保证书</w:t>
      </w:r>
    </w:p>
    <w:p>
      <w:pPr>
        <w:spacing w:line="570" w:lineRule="atLeast"/>
        <w:ind w:firstLine="630"/>
        <w:jc w:val="center"/>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 xml:space="preserve">  </w:t>
      </w:r>
    </w:p>
    <w:p>
      <w:pPr>
        <w:pStyle w:val="2"/>
        <w:jc w:val="center"/>
        <w:rPr>
          <w:rFonts w:hint="default"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格式自拟</w:t>
      </w:r>
    </w:p>
    <w:p>
      <w:pPr>
        <w:rPr>
          <w:rFonts w:hint="eastAsia" w:ascii="Times New Roman" w:hAnsi="Times New Roman" w:eastAsia="方正仿宋_GBK" w:cs="Times New Roman"/>
          <w:color w:val="auto"/>
          <w:sz w:val="24"/>
          <w:highlight w:val="none"/>
          <w:lang w:val="en-US" w:eastAsia="zh-CN"/>
        </w:rPr>
      </w:pPr>
    </w:p>
    <w:p>
      <w:pPr>
        <w:pStyle w:val="2"/>
        <w:rPr>
          <w:rFonts w:hint="eastAsia" w:ascii="Times New Roman" w:hAnsi="Times New Roman" w:eastAsia="方正仿宋_GBK" w:cs="Times New Roman"/>
          <w:color w:val="auto"/>
          <w:sz w:val="24"/>
          <w:highlight w:val="none"/>
          <w:lang w:val="en-US" w:eastAsia="zh-CN"/>
        </w:rPr>
      </w:pPr>
    </w:p>
    <w:p>
      <w:pPr>
        <w:rPr>
          <w:rFonts w:hint="default"/>
          <w:color w:val="auto"/>
          <w:highlight w:val="none"/>
          <w:lang w:val="en-US" w:eastAsia="zh-CN"/>
        </w:rPr>
      </w:pP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供应商单位名称：       （盖章） </w:t>
      </w: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 xml:space="preserve">供应商单位法定代表人或授权代表（签字）：        </w:t>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p>
    <w:p>
      <w:pPr>
        <w:spacing w:line="570" w:lineRule="atLeast"/>
        <w:ind w:firstLine="480" w:firstLineChars="20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日期：</w:t>
      </w:r>
    </w:p>
    <w:p>
      <w:pPr>
        <w:spacing w:line="570" w:lineRule="atLeast"/>
        <w:rPr>
          <w:rFonts w:ascii="Times New Roman" w:hAnsi="Times New Roman" w:eastAsia="方正仿宋_GBK" w:cs="Times New Roman"/>
          <w:color w:val="auto"/>
          <w:sz w:val="22"/>
          <w:szCs w:val="22"/>
          <w:highlight w:val="none"/>
        </w:rPr>
      </w:pPr>
      <w:bookmarkStart w:id="1" w:name="_Toc237343703"/>
      <w:bookmarkStart w:id="2" w:name="_Toc174767233"/>
      <w:bookmarkStart w:id="3" w:name="_Toc95295163"/>
    </w:p>
    <w:p>
      <w:pPr>
        <w:pStyle w:val="2"/>
        <w:rPr>
          <w:rFonts w:ascii="Times New Roman" w:hAnsi="Times New Roman" w:eastAsia="方正仿宋_GBK" w:cs="Times New Roman"/>
          <w:color w:val="auto"/>
          <w:sz w:val="22"/>
          <w:szCs w:val="22"/>
          <w:highlight w:val="none"/>
        </w:rPr>
      </w:pPr>
    </w:p>
    <w:p>
      <w:pPr>
        <w:rPr>
          <w:rFonts w:ascii="Times New Roman" w:hAnsi="Times New Roman" w:eastAsia="方正仿宋_GBK" w:cs="Times New Roman"/>
          <w:color w:val="auto"/>
          <w:sz w:val="22"/>
          <w:szCs w:val="22"/>
          <w:highlight w:val="none"/>
        </w:rPr>
      </w:pPr>
    </w:p>
    <w:p>
      <w:pPr>
        <w:pStyle w:val="2"/>
        <w:rPr>
          <w:rFonts w:ascii="Times New Roman" w:hAnsi="Times New Roman" w:eastAsia="方正仿宋_GBK" w:cs="Times New Roman"/>
          <w:color w:val="auto"/>
          <w:sz w:val="22"/>
          <w:szCs w:val="22"/>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both"/>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28"/>
          <w:szCs w:val="28"/>
          <w:highlight w:val="none"/>
        </w:rPr>
      </w:pPr>
    </w:p>
    <w:p>
      <w:pPr>
        <w:spacing w:line="570" w:lineRule="atLeast"/>
        <w:jc w:val="center"/>
        <w:rPr>
          <w:rFonts w:ascii="Times New Roman" w:hAnsi="Times New Roman" w:eastAsia="方正仿宋_GBK" w:cs="Times New Roman"/>
          <w:b/>
          <w:bCs/>
          <w:color w:val="auto"/>
          <w:sz w:val="32"/>
          <w:szCs w:val="32"/>
          <w:highlight w:val="none"/>
        </w:rPr>
      </w:pPr>
      <w:r>
        <w:rPr>
          <w:rFonts w:ascii="Times New Roman" w:hAnsi="Times New Roman" w:eastAsia="方正仿宋_GBK" w:cs="Times New Roman"/>
          <w:b/>
          <w:bCs/>
          <w:color w:val="auto"/>
          <w:sz w:val="32"/>
          <w:szCs w:val="32"/>
          <w:highlight w:val="none"/>
        </w:rPr>
        <w:t>法定代表人身份授权书</w:t>
      </w:r>
    </w:p>
    <w:p>
      <w:pPr>
        <w:spacing w:line="570" w:lineRule="atLeast"/>
        <w:rPr>
          <w:rFonts w:ascii="Times New Roman" w:hAnsi="Times New Roman" w:eastAsia="方正仿宋_GBK" w:cs="Times New Roman"/>
          <w:b/>
          <w:bCs/>
          <w:color w:val="auto"/>
          <w:sz w:val="28"/>
          <w:szCs w:val="28"/>
          <w:highlight w:val="none"/>
        </w:rPr>
      </w:pPr>
    </w:p>
    <w:p>
      <w:pPr>
        <w:tabs>
          <w:tab w:val="left" w:pos="6300"/>
        </w:tabs>
        <w:spacing w:line="570" w:lineRule="atLeast"/>
        <w:rPr>
          <w:rFonts w:ascii="Times New Roman" w:hAnsi="Times New Roman" w:eastAsia="方正仿宋_GBK" w:cs="Times New Roman"/>
          <w:color w:val="auto"/>
          <w:sz w:val="24"/>
          <w:highlight w:val="none"/>
          <w:lang w:val="zh-CN"/>
        </w:rPr>
      </w:pP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lang w:val="zh-CN"/>
        </w:rPr>
        <w:t xml:space="preserve">   本授权声明：</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（投标人名称）</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（法定代表人姓名、职务）授权</w:t>
      </w:r>
      <w:r>
        <w:rPr>
          <w:rFonts w:ascii="Times New Roman" w:hAnsi="Times New Roman" w:eastAsia="方正仿宋_GBK" w:cs="Times New Roman"/>
          <w:color w:val="auto"/>
          <w:sz w:val="24"/>
          <w:highlight w:val="none"/>
          <w:u w:val="single"/>
          <w:lang w:val="zh-CN"/>
        </w:rPr>
        <w:t xml:space="preserve">                          </w:t>
      </w:r>
      <w:r>
        <w:rPr>
          <w:rFonts w:ascii="Times New Roman" w:hAnsi="Times New Roman" w:eastAsia="方正仿宋_GBK" w:cs="Times New Roman"/>
          <w:color w:val="auto"/>
          <w:sz w:val="24"/>
          <w:highlight w:val="none"/>
          <w:lang w:val="zh-CN"/>
        </w:rPr>
        <w:t>（被授权人姓名、职务）为我方</w:t>
      </w:r>
      <w:r>
        <w:rPr>
          <w:rFonts w:ascii="Times New Roman" w:hAnsi="Times New Roman" w:eastAsia="方正仿宋_GBK" w:cs="Times New Roman"/>
          <w:color w:val="auto"/>
          <w:sz w:val="24"/>
          <w:highlight w:val="none"/>
          <w:u w:val="single"/>
          <w:lang w:val="zh-CN"/>
        </w:rPr>
        <w:t xml:space="preserve"> “                                          ”</w:t>
      </w:r>
      <w:r>
        <w:rPr>
          <w:rFonts w:ascii="Times New Roman" w:hAnsi="Times New Roman" w:eastAsia="方正仿宋_GBK" w:cs="Times New Roman"/>
          <w:color w:val="auto"/>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特此声明。</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法定代表人签字：</w:t>
      </w:r>
    </w:p>
    <w:p>
      <w:pPr>
        <w:tabs>
          <w:tab w:val="left" w:pos="6300"/>
        </w:tabs>
        <w:spacing w:line="570" w:lineRule="atLeast"/>
        <w:ind w:firstLine="573"/>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授权代表签字：</w:t>
      </w:r>
    </w:p>
    <w:p>
      <w:pPr>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投标人名称：</w:t>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ab/>
      </w:r>
      <w:r>
        <w:rPr>
          <w:rFonts w:ascii="Times New Roman" w:hAnsi="Times New Roman" w:eastAsia="方正仿宋_GBK" w:cs="Times New Roman"/>
          <w:color w:val="auto"/>
          <w:sz w:val="24"/>
          <w:highlight w:val="none"/>
        </w:rPr>
        <w:t xml:space="preserve">      （加盖公章）</w:t>
      </w:r>
    </w:p>
    <w:p>
      <w:pPr>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日期：</w:t>
      </w:r>
    </w:p>
    <w:p>
      <w:pPr>
        <w:tabs>
          <w:tab w:val="left" w:pos="6300"/>
        </w:tabs>
        <w:spacing w:line="570" w:lineRule="atLeast"/>
        <w:ind w:firstLine="480"/>
        <w:rPr>
          <w:rFonts w:ascii="Times New Roman" w:hAnsi="Times New Roman" w:eastAsia="方正仿宋_GBK" w:cs="Times New Roman"/>
          <w:color w:val="auto"/>
          <w:sz w:val="24"/>
          <w:highlight w:val="none"/>
        </w:rPr>
      </w:pPr>
      <w:r>
        <w:rPr>
          <w:rFonts w:ascii="Times New Roman" w:hAnsi="Times New Roman" w:eastAsia="方正仿宋_GBK" w:cs="Times New Roman"/>
          <w:color w:val="auto"/>
          <w:sz w:val="24"/>
          <w:highlight w:val="none"/>
        </w:rPr>
        <w:t>★说明：上述证明文件附有法定代表人、被授权代表身份证复印件（加盖公章）时才能生效。</w:t>
      </w:r>
      <w:bookmarkEnd w:id="1"/>
      <w:bookmarkEnd w:id="2"/>
      <w:bookmarkEnd w:id="3"/>
    </w:p>
    <w:p>
      <w:pPr>
        <w:pStyle w:val="2"/>
        <w:ind w:firstLine="480"/>
        <w:rPr>
          <w:rFonts w:hint="default"/>
          <w:lang w:val="en-US" w:eastAsia="zh-CN"/>
        </w:rPr>
      </w:pPr>
    </w:p>
    <w:p>
      <w:pPr>
        <w:rPr>
          <w:rFonts w:hint="default"/>
          <w:lang w:val="en-US" w:eastAsia="zh-CN"/>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r>
        <w:rPr>
          <w:rFonts w:hint="default" w:ascii="Times New Roman" w:hAnsi="Times New Roman" w:eastAsia="方正小标宋_GBK" w:cs="Times New Roman"/>
          <w:color w:val="auto"/>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auto"/>
          <w:kern w:val="0"/>
          <w:sz w:val="24"/>
          <w:szCs w:val="24"/>
          <w:highlight w:val="none"/>
        </w:rPr>
        <w:t>日期：   年    月    日</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5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2026-01-26T01:13:41Z</dcterms:created>
  <dc:creator>OS</dc:creator>
  <cp:lastModifiedBy>們泊冬吴@^_^</cp:lastModifiedBy>
  <dcterms:modified xsi:type="dcterms:W3CDTF">2026-01-26T01:19:10Z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