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eastAsia" w:eastAsia="方正仿宋_GBK" w:cs="Times New Roman"/>
          <w:kern w:val="2"/>
          <w:sz w:val="28"/>
          <w:szCs w:val="28"/>
          <w:highlight w:val="none"/>
          <w:lang w:val="en-US" w:eastAsia="zh-CN" w:bidi="ar-SA"/>
          <w14:ligatures w14:val="standardContextual"/>
        </w:rPr>
        <w:t>院内线上培训及考试系统服务采购项目</w:t>
      </w:r>
      <w:r>
        <w:rPr>
          <w:rFonts w:hint="default"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.最高限价：6.8</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/年，一采三年，超过限价的报价其响应文件作无效处理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sz w:val="32"/>
          <w:szCs w:val="32"/>
          <w:highlight w:val="none"/>
        </w:rPr>
        <w:t>★</w:t>
      </w: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1.交货时间：自合同签订后15天内。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2.交货地点：成都市金牛区妇幼保健院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3.付款方式：合同签订后30日内，采购人收到供应商合法有效发票资料后支付合同总金额的90%。，剩余10%于系统使用3个月后，运行无任何问题后支付。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4.服务期限：三年，合同一年一签。经考核合格后续签下一年度合同。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5.履约验收：按照《财政部关于进一步加强政府采购需求和履约验收管理的指导意见》（财库〔2016〕205号）等政府采购相关法律法规的要求进行。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6.考核要求：医院每年对成交供应商的服务质量进行评估，具体要求详见院内线上培训及考试系统服务质量评价表。</w:t>
      </w:r>
    </w:p>
    <w:tbl>
      <w:tblPr>
        <w:tblStyle w:val="4"/>
        <w:tblpPr w:leftFromText="180" w:rightFromText="180" w:vertAnchor="text" w:horzAnchor="page" w:tblpX="1859" w:tblpY="477"/>
        <w:tblOverlap w:val="never"/>
        <w:tblW w:w="8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5"/>
        <w:gridCol w:w="1965"/>
        <w:gridCol w:w="3585"/>
        <w:gridCol w:w="855"/>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1" w:hRule="atLeast"/>
        </w:trPr>
        <w:tc>
          <w:tcPr>
            <w:tcW w:w="83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公文小标宋" w:hAnsi="方正公文小标宋" w:eastAsia="方正公文小标宋" w:cs="方正公文小标宋"/>
                <w:i w:val="0"/>
                <w:color w:val="000000"/>
                <w:sz w:val="32"/>
                <w:szCs w:val="32"/>
                <w:highlight w:val="none"/>
                <w:u w:val="none"/>
              </w:rPr>
            </w:pPr>
            <w:r>
              <w:rPr>
                <w:rFonts w:hint="eastAsia" w:ascii="方正公文小标宋" w:hAnsi="方正公文小标宋" w:eastAsia="方正公文小标宋" w:cs="方正公文小标宋"/>
                <w:i w:val="0"/>
                <w:color w:val="000000"/>
                <w:kern w:val="0"/>
                <w:sz w:val="32"/>
                <w:szCs w:val="32"/>
                <w:highlight w:val="none"/>
                <w:u w:val="none"/>
                <w:lang w:val="en-US" w:eastAsia="zh-CN" w:bidi="ar"/>
              </w:rPr>
              <w:t>院内线上培训及考试系统服务质量</w:t>
            </w:r>
            <w:r>
              <w:rPr>
                <w:rFonts w:hint="default" w:ascii="方正公文小标宋" w:hAnsi="方正公文小标宋" w:eastAsia="方正公文小标宋" w:cs="方正公文小标宋"/>
                <w:i w:val="0"/>
                <w:color w:val="000000"/>
                <w:kern w:val="0"/>
                <w:sz w:val="32"/>
                <w:szCs w:val="32"/>
                <w:highlight w:val="none"/>
                <w:u w:val="none"/>
                <w:lang w:val="en-US" w:eastAsia="zh-CN" w:bidi="ar"/>
              </w:rPr>
              <w:t>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考评项目</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考评标准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8"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服务质量评分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日常随访服务，及时了解系统运行情况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服务响应评分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服务响应及时，态度积极，沟通顺畅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问题解决评分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精准发现问题，按客户需求第一时间解决问题</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6"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系统使用评分</w:t>
            </w:r>
          </w:p>
        </w:tc>
        <w:tc>
          <w:tcPr>
            <w:tcW w:w="3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各项功能正常，各个终端（手机端、电脑端）使用情况良好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1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用户满意度</w:t>
            </w:r>
          </w:p>
        </w:tc>
        <w:tc>
          <w:tcPr>
            <w:tcW w:w="3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每年度由管理部门、各临床科室进行使用满意度调查（60分-70（含70）得5分；70-80（含80）得10分；80-90（含90）得15分；90以上得满分）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5" w:hRule="atLeast"/>
        </w:trPr>
        <w:tc>
          <w:tcPr>
            <w:tcW w:w="83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pPr>
            <w:r>
              <w:rPr>
                <w:rFonts w:hint="default" w:ascii="Times New Roman" w:hAnsi="Times New Roman" w:eastAsia="方正仿宋_GBK" w:cs="Times New Roman"/>
                <w:b w:val="0"/>
                <w:bCs w:val="0"/>
                <w:i w:val="0"/>
                <w:caps w:val="0"/>
                <w:color w:val="auto"/>
                <w:spacing w:val="0"/>
                <w:kern w:val="0"/>
                <w:sz w:val="28"/>
                <w:szCs w:val="28"/>
                <w:highlight w:val="none"/>
                <w:shd w:val="clear" w:fill="FFFFFF"/>
                <w:lang w:val="en-US" w:eastAsia="zh-CN" w:bidi="ar-SA"/>
              </w:rPr>
              <w:t>综合评价：优秀（85分及以上），良好（70-84分），合格（60-69分），不合格（60分以下）。</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eastAsia="方正仿宋_GBK" w:cs="Times New Roman"/>
          <w:b w:val="0"/>
          <w:bCs w:val="0"/>
          <w:i w:val="0"/>
          <w:caps w:val="0"/>
          <w:color w:val="auto"/>
          <w:spacing w:val="0"/>
          <w:sz w:val="28"/>
          <w:szCs w:val="28"/>
          <w:highlight w:val="none"/>
          <w:shd w:val="clear" w:fill="FFFFFF"/>
          <w:lang w:val="en-US" w:eastAsia="zh-CN"/>
        </w:rPr>
      </w:pPr>
    </w:p>
    <w:p>
      <w:pPr>
        <w:widowControl/>
        <w:adjustRightInd w:val="0"/>
        <w:snapToGrid w:val="0"/>
        <w:spacing w:after="0" w:line="360" w:lineRule="auto"/>
        <w:ind w:firstLine="0" w:firstLineChars="0"/>
        <w:jc w:val="lef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（二）线上培训系统要求：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学员管理：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1.登录/注册：管理员可在后台配置学员登录方式，系统支持手机号、身份证号作为账号登录也支持手机号验证码登录。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2.个人信息收集可按需求配置：管理员可在后台设置需要收集的学员信息字段，学员在学习前在线完善个人信息。可以设置系统初始化个人信息搜集字段，支持必填或不必填，至少20个文本或选项字段以上可选。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3.管理员权限可修改、查询：管理员可查看、修改学员信息，可做禁用账号、重置密码等操作。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4.可以统计每个学员所有培训学习量：管理员可以在统计出每个学员所有培训学习量。支持按照姓名、证件号等信息查看，支持一键导出。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课程管理：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1.新建课程：管理员可添加和导入培训课程。可按需配置课程的基础信息如：培训开始结束时间、是否快进、课程分类、学科等信息。可设置是否快进，是否置顶等功能。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可以个性化设置每个课程参培学员的信息搜集字段；管理员可在后台设置每个课程的学员预约信息字段，学员在预约课程时强制填写一次后，再参培其他课程的时候可自动识别已填信息，如有其他信息搜集再弹出补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3.系统支持修改课程信息：课程添加完毕后，同时也支持在线编辑。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课件管理：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1.添加课件：系统支持PPT（PPTX）、word、Excel等格式模板导入课件，也支持单个添加课件，课件信息包括课件名称、主讲人、主讲人职称、主讲人所在单位、播放时间、是否过程签到等。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签到设置：在课件播放过程中可设置过程签到，签到方式分为普通签到和答题签到，答题签到可上传试题；可以按照视频总时长设置固定频率签到。学习过程中可进行人脸识别、切换屏幕等操作识别以确保学习者本人持续在场学习，防止代学或离线挂机行为。系统自动记录签到结果及异常操作日志，支持后台实时查看与导出。人脸识别需在规定时间内完成捕捉，未通过者视为缺勤。切换屏幕超过设定次数即触发警告并记入学习记录，严重者自动暂停播放课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3.添加视频：管理员可将本院录制的培训视频上传到课件库，可以输入视频名称，视频支持格式：wmv/wm/rm/rmvb/mpg/mpeg/mpe/vob/mov/3gp/mp4/mp4v/m4v/mkv/avi/flv/f4v，上传视频大小限制需合理，可上传不超过4G的视频，上传成功后可以显示文件名、格式、大小和状态进行保存或取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4.学员可以对每节课件进行评价：学员也可对培训课程下的每节课评分和评价，管理员可在后台查看并优化培训内容。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培训后考试管理：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1.支持试题导入、导出和清空：系统支持试题导入和已导入试题导出，可随时编辑试题。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2.管理员可在每个课件后添加课后题，课后题支持：单选题、多选题、判断题等多种题型。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3.课后题支持设置考试时长，合格分数，是否显示正确答案，考试次数或“多次考试直到合格”等功能。管理员可根据实际需求配置。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4.答题时间系统默认不受时间限制，也可以设置固定答题时间，学员点击考试后就会进入倒计时。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学习记录：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系统记录各个课程学员的学习情况、考核情况，可统计人员姓名、手机号、证件号、单位名称、专业、已完成/课件总数、观看时长、是否预约、考试结果、考试成绩等信息。支持一键导出，方便管理员掌握学员的学习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2.管理员可在统计分析中查看实时学员的学习情况，及时准确的掌握实际培训情况。督促学员在规定的时间内完成学习。可在线根据学员的姓名、手机号或身份证号进行查询，也支持一键导出。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3.可一键导入需要学习的人员名单，随时查看哪些人员未学习。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调研问卷：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1.管理员可在内容管理菜单下添加调查问卷并关联到课程中，支持导入问卷、关联课程，设置发布或下架。方便了解学员对培训的评价。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2.调查问卷结果明细包含提交时间、填写时间、填写地区和填写详情等，可按照姓名或手机号单个查询，也可以一键导出整体问卷结果。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3.统计处可以查看到每个问题每个选项的选择人数，均支持导出。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观看端：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1.平台同时支持电脑端和手机端的学习、考试以及个人信息管理等功能。做到支持多端且数据实时同步，方便学员随时随地学习。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2.为了保障学习效果，防止学员刷课作弊，在学习过程中可设置过程签到，人脸识别，学员签到提示成功后方可继续学习。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3.为了方便学员随时随地自主学习，手机端和电脑端都支持断点播放功能，如有特殊情况迫使退出学习后再进入系统观看视频可在记忆点继续播放，也可选择从头观看课件。学员可以根据自己的接受能力选择不同倍速播放课件完成学习。学员也可根据所处的网络环境选择视频清晰度，保障学员顺利完成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4.支持展示课程目录、课程介绍、课程讲义、评论等。点击进培训课程展示该课程下的培训目录，具体有：课程名称、专家、单位、培训开始和结束时间。切换到课程简介栏展示培训课程内容简介，在培训前可了解课程的大体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559" w:leftChars="266" w:right="0" w:firstLine="0" w:firstLineChars="0"/>
        <w:textAlignment w:val="auto"/>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问题反馈：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1.学员可在意见反馈菜单下，反馈各种建议及意见，以便优化后续培训工作。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2.管理员可以在后台回复学员反馈的问题并记录回复时间，保障学员问题及时解决。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559" w:leftChars="266" w:right="0" w:firstLine="0" w:firstLineChars="0"/>
        <w:textAlignment w:val="auto"/>
        <w:rPr>
          <w:rFonts w:hint="default" w:ascii="Times New Roman" w:hAnsi="Times New Roman" w:eastAsia="方正仿宋_GBK" w:cs="Times New Roman"/>
          <w:b/>
          <w:bCs/>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录制及上传服务: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1.可以提供专业录制软件及操作手册，远程指导讲师录制。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2.支持讲师自己上传视频到课件库及课程，减少操作流程，实现自助上传视频。</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（三）线上考试系统功能要求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创建考试：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创建考试，选择参考人员，设置考试流程，设置考试科目及考试方式，发送通知。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组卷：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多种组卷策略，包括但不限于智能组卷、卷中卷、手工组卷、难度等级组卷等，支持跨题库组卷。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在线考试：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在线考试规则设置：日期、时间、人员等。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支持多种防作弊方式：试题乱序、千人千卷、防切屏、防截屏、人脸识别等。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支持即时扫描二维码考试，无需提前录入考生。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监考：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延时考试，延时交卷，强制交卷；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迟到、作弊标记；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人脸识别监控；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阅卷：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主观题评分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成绩管理：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成绩录入，成绩查询，成绩发布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统计分析：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试题分析、题型分析、试卷分析、考生分析、成绩分析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人员管理：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1)学员管理：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a)可对学员信息进行增加、删除、修改。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b)跟据不同查询条件进行筛选，对学员信息进行导出、导入、修改等操作。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c)学员系统账号根据身份证号自动分配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2)教员管理：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a)可对教员信息进行增加、删除、修改。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b)跟据不同查询条件进行筛选，对教员信息进行导出、导入、修改等操作。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c)教员系统账号根据身份证号自动分配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考试管理：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支持管理人员在线创建考试，进行下发，考生需统一登录网站即可进行报名，并进行后续的考试操作。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考试属性包括考试人员范围,支持通过多种口径全选人员，实现考试人员划分的快速定位。允许添加组，机构，教学科目等各种属性人员，进行统一考试。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设立监考老师以及阅卷老师，对于在线的考试，可以由监考老师对考试过程进行控制，监考老师可以针对具体的学员进行延迟，作弊的处理。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1)试卷管理：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a)创建考试类型所对应的试卷，不同考试类型可设置多类试卷；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b)支持大型考试，千人千卷；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c)组卷策略：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自动组卷：用户设定所需试卷的综合条件，由系统自动选题生成试卷，支持设置试卷内容比例。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手动组卷：用户设置试题查询条件，系统提供符合条件的试题，用户手工选择题目生成试卷；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卷中卷：系统支持从已有试卷中选择试题组成试卷。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d)支持试卷导出，进行线下考试；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2)创建考试：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a)根据实际考试类型选择创建考试，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b)支持选择参加考试学员，监考、阅卷老师；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c)支持设置考试时间、报名流程、准考证信息、考试成绩查看权限、考试通知；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3)在线考试初始化设置：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a)支持模拟练习考试，可设置答题后显示结果，正确答案，逐题显示得分等；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b)支持设置按照考试场次，设置试卷；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c)支持防作弊设置：如进入考场次数，是否允许重复答题、重复交卷，是否允许切屏等；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d)支持是否允许提前答卷、提前交卷；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e)支持设置考试相关信息弹窗提醒；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4)支持查看考生情况；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5)成绩管理：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a)发布考试成绩后，学员可查询考试结果；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b)支持根据时间、考试名称等查看考试结果；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c)支持考试结果导入导出，考试成绩录入等；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支持手机端：学员可通过手机端（APP、微信）进行考试；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试卷组卷：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通过连接的题库，在线的按照学科，难易度，考试范围等属性对题库进行自动或者手动的筛选，自动组成试卷，并且可以设置试卷中主客观试题，单多选，填空等试题的比例以及数量的分布。更贴合每次考试的实际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智能组卷方式：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智能组卷：用户设定所需试卷的综合条件，由系统自动选题生成试卷。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手工组卷：用户设置试题查询条件，系统提供符合条件的试题，用户手工选择题目生成试卷。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卷中卷：用户设置试题要求，系统从已有试卷中选择试题组成试卷。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题库组卷，可实现用户题库、住院医师、三基三严、执业医师、护士资格考试等多题库跨题库组卷；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支持试题“自定义标签功能”，用户可在标签处输入对试题的解析，供用户编辑进行试题修改、纠错等；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在线考试：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考生登录后，显示与其相关的需要开展的考试内容，保证其不会错过任何一场考试。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在考试期间，需要时间以及各种预制的通知提醒，保证考生可以实时掌握自己考试的进度。在答题期间，避免有些考生会切换屏幕，通过电脑浏览检索答案信息，系统需预制防作弊的禁止切屏功能，以保证考试的严肃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且支持考试前、考试中、考试后，进行人脸识别，以防替考。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成绩管理：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对于考试成绩，在成绩发布之前，可以进行相应的调整分析。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考生不能进行查看。允许管理人员通过前台界面对考试成绩进行导入，修改，重新发布。保证对考试全过程的监控。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题库：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题库需涉及医学30个以上的一级学科，300个以上的二级，1100个以上的三级学科。80万道以上的试题会，并在日常过程中持续更新，并且每年的更新量不少于20%。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题型需要：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单项最佳选择题，病例摘要型最佳选择题，病例组型最佳选择题，B型题(标准配伍题，多项选择题，综合分析选择题，填空题，判断题，简答题，名词解释题、辅助结果判读题。</w:t>
      </w: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ab/>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包含但不限于以下题库类型：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住培题库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执师题库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三基题库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题库来源：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省级住院医师规范化培训管理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住院医、全科、助理全科、实习生等培训基地；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人卫出版社、湖南科学技术出版社等医学专业出版社；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手机端：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手机考试不受空间和网络限制随时随地实施考试，适应评估、考核、模拟考试、评测一体化要求，快速部署、快速考试、快速统计分析。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同时支持微信小程序，微信H5页面登录，方便快捷，无需下载APP即可使用考试相关功能；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手机防作弊：支持人脸识别、防切屏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“扫二维码”考试，无需提前进行选择考试人员的繁琐操作，教员直接组卷完成后，生成二维码，学员扫码即可参加考试。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bCs/>
          <w:i w:val="0"/>
          <w:caps w:val="0"/>
          <w:color w:val="auto"/>
          <w:spacing w:val="0"/>
          <w:sz w:val="28"/>
          <w:szCs w:val="28"/>
          <w:highlight w:val="none"/>
          <w:shd w:val="clear" w:fill="FFFFFF"/>
          <w:lang w:val="en-US" w:eastAsia="zh-CN"/>
        </w:rPr>
        <w:t>统计分析：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考试结果可以查看每个学生的具体成绩和具体试题，可以统计每个学生的分数情况，可以按照成绩分布区间查看分析考试结果，可以按照试题统计本次考试的正确率分布情况，以此用于考试后对于考生考点的掌握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支持详细的试卷、试题统计分析，支持查看更加详细的错题分析，答案分析、正确率分析等，从而可认为判断试题、试卷难易程度；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pP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支持每道试题系统有基础标签(容易、一般、困难），系统会根据本单位的每次考试结果分析，自动调整试题在本单位的难易程度。支持查看每道试题的选项分布比率，可以有效的核实所考知识点的掌握情况。</w:t>
      </w:r>
    </w:p>
    <w:p>
      <w:pPr>
        <w:keepNext w:val="0"/>
        <w:keepLines w:val="0"/>
        <w:pageBreakBefore w:val="0"/>
        <w:kinsoku/>
        <w:wordWrap/>
        <w:overflowPunct/>
        <w:topLinePunct w:val="0"/>
        <w:autoSpaceDE/>
        <w:autoSpaceDN/>
        <w:bidi w:val="0"/>
        <w:spacing w:after="0" w:line="480" w:lineRule="exact"/>
        <w:textAlignment w:val="auto"/>
        <w:rPr>
          <w:rFonts w:hint="default" w:ascii="Times New Roman" w:hAnsi="Times New Roman" w:cs="Times New Roman"/>
          <w:highlight w:val="none"/>
          <w:lang w:val="en-US" w:eastAsia="zh-CN"/>
        </w:rPr>
      </w:pPr>
      <w:r>
        <w:rPr>
          <w:rFonts w:hint="eastAsia" w:ascii="Times New Roman" w:hAnsi="Times New Roman" w:eastAsia="方正仿宋_GBK" w:cs="Times New Roman"/>
          <w:kern w:val="2"/>
          <w:sz w:val="28"/>
          <w:szCs w:val="28"/>
          <w:highlight w:val="none"/>
          <w:lang w:val="en-US" w:eastAsia="zh-CN" w:bidi="ar-SA"/>
          <w14:ligatures w14:val="standardContextual"/>
        </w:rPr>
        <w:t>（四）其他服务要求：</w:t>
      </w:r>
    </w:p>
    <w:p>
      <w:pPr>
        <w:keepNext w:val="0"/>
        <w:keepLines w:val="0"/>
        <w:pageBreakBefore w:val="0"/>
        <w:kinsoku/>
        <w:wordWrap/>
        <w:overflowPunct/>
        <w:topLinePunct w:val="0"/>
        <w:autoSpaceDE/>
        <w:autoSpaceDN/>
        <w:bidi w:val="0"/>
        <w:spacing w:after="0" w:line="48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1.需24小时响应服务请求，并在收到请求后2-4小时内查出问题予以解决。重大紧急请求需0.5-1小时内完成处理。</w:t>
      </w:r>
    </w:p>
    <w:p>
      <w:pPr>
        <w:keepNext w:val="0"/>
        <w:keepLines w:val="0"/>
        <w:pageBreakBefore w:val="0"/>
        <w:kinsoku/>
        <w:wordWrap/>
        <w:overflowPunct/>
        <w:topLinePunct w:val="0"/>
        <w:autoSpaceDE/>
        <w:autoSpaceDN/>
        <w:bidi w:val="0"/>
        <w:spacing w:after="0" w:line="480" w:lineRule="exact"/>
        <w:ind w:firstLine="560" w:firstLineChars="200"/>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2.免费提供线上会议或课程的直播和录播服务。</w:t>
      </w:r>
    </w:p>
    <w:p>
      <w:pPr>
        <w:spacing w:after="0" w:line="570" w:lineRule="atLeast"/>
        <w:rPr>
          <w:rFonts w:hint="default" w:ascii="Times New Roman" w:hAnsi="Times New Roman" w:cs="Times New Roman"/>
          <w:highlight w:val="none"/>
          <w:lang w:val="en-US" w:eastAsia="zh-CN"/>
        </w:rPr>
      </w:pP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highlight w:val="none"/>
        </w:rPr>
      </w:pPr>
    </w:p>
    <w:p>
      <w:pPr>
        <w:pStyle w:val="2"/>
        <w:spacing w:line="570" w:lineRule="atLeast"/>
        <w:rPr>
          <w:highlight w:val="none"/>
        </w:rPr>
      </w:pPr>
    </w:p>
    <w:p>
      <w:pPr>
        <w:pStyle w:val="2"/>
        <w:spacing w:line="570" w:lineRule="atLeast"/>
        <w:rPr>
          <w:highlight w:val="none"/>
        </w:rPr>
      </w:pPr>
    </w:p>
    <w:p>
      <w:pPr>
        <w:spacing w:line="570" w:lineRule="atLeast"/>
        <w:rPr>
          <w:rFonts w:ascii="Times New Roman" w:hAnsi="Times New Roman" w:cs="Times New Roman"/>
          <w:highlight w:val="none"/>
        </w:rPr>
      </w:pPr>
    </w:p>
    <w:p>
      <w:pPr>
        <w:pStyle w:val="2"/>
        <w:spacing w:line="570" w:lineRule="atLeast"/>
        <w:rPr>
          <w:highlight w:val="none"/>
        </w:rPr>
      </w:pPr>
    </w:p>
    <w:p>
      <w:pPr>
        <w:pStyle w:val="2"/>
        <w:spacing w:line="570" w:lineRule="atLeast"/>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pStyle w:val="2"/>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pStyle w:val="2"/>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10020" w:type="dxa"/>
        <w:jc w:val="center"/>
        <w:tblCellSpacing w:w="0" w:type="dxa"/>
        <w:tblInd w:w="0" w:type="dxa"/>
        <w:tblLayout w:type="fixed"/>
        <w:tblCellMar>
          <w:top w:w="0" w:type="dxa"/>
          <w:left w:w="0" w:type="dxa"/>
          <w:bottom w:w="0" w:type="dxa"/>
          <w:right w:w="0" w:type="dxa"/>
        </w:tblCellMar>
      </w:tblPr>
      <w:tblGrid>
        <w:gridCol w:w="840"/>
        <w:gridCol w:w="5835"/>
        <w:gridCol w:w="3345"/>
      </w:tblGrid>
      <w:tr>
        <w:tblPrEx>
          <w:tblLayout w:type="fixed"/>
          <w:tblCellMar>
            <w:top w:w="0" w:type="dxa"/>
            <w:left w:w="0" w:type="dxa"/>
            <w:bottom w:w="0" w:type="dxa"/>
            <w:right w:w="0" w:type="dxa"/>
          </w:tblCellMar>
        </w:tblPrEx>
        <w:trPr>
          <w:trHeight w:val="800" w:hRule="atLeast"/>
          <w:tblCellSpacing w:w="0" w:type="dxa"/>
          <w:jc w:val="center"/>
        </w:trPr>
        <w:tc>
          <w:tcPr>
            <w:tcW w:w="840" w:type="dxa"/>
            <w:tcBorders>
              <w:top w:val="single" w:color="auto" w:sz="4" w:space="0"/>
              <w:left w:val="single" w:color="auto" w:sz="0" w:space="0"/>
              <w:bottom w:val="single" w:color="auto" w:sz="4" w:space="0"/>
              <w:right w:val="single" w:color="auto" w:sz="4" w:space="0"/>
            </w:tcBorders>
            <w:tcMar>
              <w:top w:w="0" w:type="dxa"/>
              <w:left w:w="105" w:type="dxa"/>
              <w:bottom w:w="0" w:type="dxa"/>
              <w:right w:w="105" w:type="dxa"/>
            </w:tcMar>
            <w:vAlign w:val="center"/>
          </w:tcPr>
          <w:p>
            <w:pPr>
              <w:tabs>
                <w:tab w:val="left" w:pos="2142"/>
              </w:tabs>
              <w:spacing w:line="570" w:lineRule="atLeast"/>
              <w:jc w:val="both"/>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序号</w:t>
            </w:r>
          </w:p>
        </w:tc>
        <w:tc>
          <w:tcPr>
            <w:tcW w:w="583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2142"/>
              </w:tabs>
              <w:spacing w:line="570" w:lineRule="atLeast"/>
              <w:ind w:firstLine="560" w:firstLineChars="200"/>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项目名称</w:t>
            </w:r>
          </w:p>
        </w:tc>
        <w:tc>
          <w:tcPr>
            <w:tcW w:w="33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2142"/>
              </w:tabs>
              <w:spacing w:line="570" w:lineRule="atLeast"/>
              <w:ind w:firstLine="560" w:firstLineChars="200"/>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报价（</w:t>
            </w:r>
            <w:r>
              <w:rPr>
                <w:rFonts w:hint="eastAsia" w:ascii="Times New Roman" w:hAnsi="Times New Roman" w:eastAsia="方正仿宋_GBK" w:cs="Times New Roman"/>
                <w:sz w:val="28"/>
                <w:szCs w:val="28"/>
                <w:highlight w:val="none"/>
                <w:lang w:val="en-US" w:eastAsia="zh-CN"/>
              </w:rPr>
              <w:t>年/</w:t>
            </w:r>
            <w:r>
              <w:rPr>
                <w:rFonts w:hint="default" w:ascii="Times New Roman" w:hAnsi="Times New Roman" w:eastAsia="方正仿宋_GBK" w:cs="Times New Roman"/>
                <w:sz w:val="28"/>
                <w:szCs w:val="28"/>
                <w:highlight w:val="none"/>
              </w:rPr>
              <w:t>元）</w:t>
            </w:r>
          </w:p>
        </w:tc>
      </w:tr>
      <w:tr>
        <w:tblPrEx>
          <w:tblLayout w:type="fixed"/>
          <w:tblCellMar>
            <w:top w:w="0" w:type="dxa"/>
            <w:left w:w="0" w:type="dxa"/>
            <w:bottom w:w="0" w:type="dxa"/>
            <w:right w:w="0" w:type="dxa"/>
          </w:tblCellMar>
        </w:tblPrEx>
        <w:trPr>
          <w:trHeight w:val="1280" w:hRule="atLeast"/>
          <w:tblCellSpacing w:w="0" w:type="dxa"/>
          <w:jc w:val="center"/>
        </w:trPr>
        <w:tc>
          <w:tcPr>
            <w:tcW w:w="84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2142"/>
              </w:tabs>
              <w:spacing w:line="570" w:lineRule="atLeast"/>
              <w:jc w:val="center"/>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w:t>
            </w:r>
          </w:p>
        </w:tc>
        <w:tc>
          <w:tcPr>
            <w:tcW w:w="583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2142"/>
              </w:tabs>
              <w:spacing w:line="570" w:lineRule="atLeast"/>
              <w:ind w:firstLine="560" w:firstLineChars="200"/>
              <w:jc w:val="center"/>
              <w:rPr>
                <w:rFonts w:hint="default" w:ascii="Times New Roman" w:hAnsi="Times New Roman" w:eastAsia="方正仿宋_GBK" w:cs="Times New Roman"/>
                <w:sz w:val="28"/>
                <w:szCs w:val="28"/>
                <w:highlight w:val="none"/>
                <w:lang w:val="en-US"/>
              </w:rPr>
            </w:pPr>
            <w:r>
              <w:rPr>
                <w:rFonts w:hint="default" w:ascii="Times New Roman" w:hAnsi="Times New Roman" w:eastAsia="方正仿宋_GBK" w:cs="Times New Roman"/>
                <w:sz w:val="28"/>
                <w:szCs w:val="28"/>
                <w:highlight w:val="none"/>
                <w:lang w:val="en-US"/>
              </w:rPr>
              <w:t>院内线上培训及考试系统服务采购项目</w:t>
            </w:r>
          </w:p>
        </w:tc>
        <w:tc>
          <w:tcPr>
            <w:tcW w:w="33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2142"/>
              </w:tabs>
              <w:spacing w:line="570" w:lineRule="atLeast"/>
              <w:ind w:firstLine="560" w:firstLineChars="200"/>
              <w:jc w:val="center"/>
              <w:rPr>
                <w:rFonts w:hint="default" w:ascii="Times New Roman" w:hAnsi="Times New Roman" w:eastAsia="方正仿宋_GBK" w:cs="Times New Roman"/>
                <w:sz w:val="28"/>
                <w:szCs w:val="28"/>
                <w:highlight w:val="none"/>
              </w:rPr>
            </w:pPr>
          </w:p>
        </w:tc>
      </w:tr>
      <w:tr>
        <w:tblPrEx>
          <w:tblLayout w:type="fixed"/>
          <w:tblCellMar>
            <w:top w:w="0" w:type="dxa"/>
            <w:left w:w="0" w:type="dxa"/>
            <w:bottom w:w="0" w:type="dxa"/>
            <w:right w:w="0" w:type="dxa"/>
          </w:tblCellMar>
        </w:tblPrEx>
        <w:trPr>
          <w:trHeight w:val="620" w:hRule="atLeast"/>
          <w:tblCellSpacing w:w="0" w:type="dxa"/>
          <w:jc w:val="center"/>
        </w:trPr>
        <w:tc>
          <w:tcPr>
            <w:tcW w:w="10020" w:type="dxa"/>
            <w:gridSpan w:val="3"/>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2142"/>
              </w:tabs>
              <w:spacing w:line="570" w:lineRule="atLeast"/>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合计金额（大写）：</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w:t>
      </w:r>
      <w:r>
        <w:rPr>
          <w:rFonts w:hint="eastAsia" w:ascii="Times New Roman" w:hAnsi="Times New Roman" w:eastAsia="方正仿宋_GBK" w:cs="Times New Roman"/>
          <w:sz w:val="28"/>
          <w:szCs w:val="28"/>
          <w:highlight w:val="none"/>
        </w:rPr>
        <w:t>报价应是完成本项目所有采购内容和采购文件规定的其它全部费用，最终用户验收合格后的总价</w:t>
      </w:r>
      <w:r>
        <w:rPr>
          <w:rFonts w:ascii="Times New Roman" w:hAnsi="Times New Roman" w:eastAsia="方正仿宋_GBK" w:cs="Times New Roman"/>
          <w:sz w:val="28"/>
          <w:szCs w:val="28"/>
          <w:highlight w:val="none"/>
        </w:rPr>
        <w:t>。</w:t>
      </w:r>
    </w:p>
    <w:p>
      <w:pPr>
        <w:tabs>
          <w:tab w:val="left" w:pos="2142"/>
        </w:tabs>
        <w:spacing w:line="570" w:lineRule="atLeast"/>
        <w:ind w:firstLine="562" w:firstLineChars="200"/>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2"/>
        <w:rPr>
          <w:rFonts w:ascii="Times New Roman" w:hAnsi="Times New Roman" w:eastAsia="方正小标宋_GBK" w:cs="Times New Roman"/>
          <w:b/>
          <w:bCs/>
          <w:sz w:val="28"/>
          <w:szCs w:val="28"/>
          <w:highlight w:val="none"/>
        </w:rPr>
      </w:pPr>
    </w:p>
    <w:p>
      <w:pPr>
        <w:rPr>
          <w:rFonts w:ascii="Times New Roman" w:hAnsi="Times New Roman" w:eastAsia="方正小标宋_GBK" w:cs="Times New Roman"/>
          <w:b/>
          <w:bCs/>
          <w:sz w:val="28"/>
          <w:szCs w:val="28"/>
          <w:highlight w:val="none"/>
        </w:rPr>
      </w:pPr>
    </w:p>
    <w:p>
      <w:pPr>
        <w:pStyle w:val="2"/>
        <w:rPr>
          <w:highlight w:val="none"/>
        </w:rPr>
      </w:pPr>
    </w:p>
    <w:p>
      <w:pPr>
        <w:pStyle w:val="2"/>
        <w:spacing w:line="570" w:lineRule="atLeast"/>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bookmarkStart w:id="0" w:name="_Toc237343703"/>
      <w:bookmarkStart w:id="1" w:name="_Toc174767233"/>
      <w:bookmarkStart w:id="2" w:name="_Toc95295163"/>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公文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E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Normal (Web)"/>
    <w:basedOn w:val="1"/>
    <w:qFormat/>
    <w:uiPriority w:val="0"/>
    <w:pPr>
      <w:spacing w:beforeAutospacing="1" w:after="0" w:afterAutospacing="1"/>
      <w:jc w:val="left"/>
    </w:pPr>
    <w:rPr>
      <w:rFonts w:cs="Times New Roman"/>
      <w:kern w:val="0"/>
      <w:sz w:val="24"/>
    </w:r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2025-12-17T02:01:15Z</dcterms:created>
  <dc:creator>OS</dc:creator>
  <cp:lastModifiedBy>們泊冬吴@^_^</cp:lastModifiedBy>
  <dcterms:modified xsi:type="dcterms:W3CDTF">2025-12-17T02:06:13Z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