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570" w:lineRule="atLeast"/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highlight w:val="none"/>
          <w:lang w:val="en-US" w:eastAsia="zh-CN"/>
        </w:rPr>
        <w:t>附件</w:t>
      </w:r>
    </w:p>
    <w:p>
      <w:pPr>
        <w:pStyle w:val="2"/>
        <w:spacing w:after="0" w:line="570" w:lineRule="atLeast"/>
        <w:rPr>
          <w:rFonts w:hint="default" w:ascii="Times New Roman" w:hAnsi="Times New Roman" w:eastAsia="方正黑体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黑体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一</w:t>
      </w:r>
      <w:r>
        <w:rPr>
          <w:rFonts w:hint="default" w:ascii="Times New Roman" w:hAnsi="Times New Roman" w:eastAsia="方正黑体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.项目名称：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2025年第二批医用耗材、试剂配送服务采购项目（第二次）</w:t>
      </w:r>
      <w:bookmarkStart w:id="5" w:name="_GoBack"/>
      <w:bookmarkEnd w:id="5"/>
      <w:r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。</w:t>
      </w:r>
    </w:p>
    <w:p>
      <w:pPr>
        <w:autoSpaceDE w:val="0"/>
        <w:autoSpaceDN w:val="0"/>
        <w:spacing w:line="520" w:lineRule="exact"/>
        <w:outlineLvl w:val="1"/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黑体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二</w:t>
      </w:r>
      <w:r>
        <w:rPr>
          <w:rFonts w:hint="default" w:ascii="Times New Roman" w:hAnsi="Times New Roman" w:eastAsia="方正黑体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.</w:t>
      </w:r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24"/>
          <w:highlight w:val="none"/>
          <w:lang w:val="zh-CN" w:eastAsia="zh-CN"/>
        </w:rPr>
        <w:t>商务要求（</w:t>
      </w:r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24"/>
          <w:highlight w:val="none"/>
          <w:lang w:val="en-US" w:eastAsia="zh-CN"/>
        </w:rPr>
        <w:t>实质性要求</w:t>
      </w:r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24"/>
          <w:highlight w:val="none"/>
          <w:lang w:val="zh-CN" w:eastAsia="zh-CN"/>
        </w:rPr>
        <w:t>）</w:t>
      </w:r>
      <w:r>
        <w:rPr>
          <w:rFonts w:hint="default" w:ascii="Times New Roman" w:hAnsi="Times New Roman" w:eastAsia="方正黑体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：</w:t>
      </w:r>
    </w:p>
    <w:tbl>
      <w:tblPr>
        <w:tblStyle w:val="4"/>
        <w:tblW w:w="92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1741"/>
        <w:gridCol w:w="6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7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69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服务期</w:t>
            </w:r>
          </w:p>
        </w:tc>
        <w:tc>
          <w:tcPr>
            <w:tcW w:w="6936" w:type="dxa"/>
            <w:vAlign w:val="center"/>
          </w:tcPr>
          <w:p>
            <w:pPr>
              <w:snapToGrid w:val="0"/>
              <w:spacing w:line="312" w:lineRule="auto"/>
              <w:ind w:left="210" w:leftChars="100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3年，合同一年一签（经考核合格后可签订下一年合同）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服务地点</w:t>
            </w:r>
          </w:p>
        </w:tc>
        <w:tc>
          <w:tcPr>
            <w:tcW w:w="6936" w:type="dxa"/>
            <w:vAlign w:val="center"/>
          </w:tcPr>
          <w:p>
            <w:pPr>
              <w:snapToGrid w:val="0"/>
              <w:spacing w:line="312" w:lineRule="auto"/>
              <w:ind w:left="210" w:leftChars="100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采购人指定地点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产品质量保证期</w:t>
            </w:r>
          </w:p>
        </w:tc>
        <w:tc>
          <w:tcPr>
            <w:tcW w:w="6936" w:type="dxa"/>
            <w:vAlign w:val="center"/>
          </w:tcPr>
          <w:p>
            <w:pPr>
              <w:snapToGrid w:val="0"/>
              <w:spacing w:line="312" w:lineRule="auto"/>
              <w:ind w:left="210" w:leftChars="100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1年，自每次耗材送达采购人指定地点之日起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报价</w:t>
            </w:r>
          </w:p>
        </w:tc>
        <w:tc>
          <w:tcPr>
            <w:tcW w:w="6936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12" w:lineRule="auto"/>
              <w:ind w:left="0" w:leftChars="0" w:firstLineChars="0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本项目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均为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挂网产品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无须进行任何报价，按照四川医保公共服务平台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当月最低挂网价且不得高于采购人上月采购价的原则执行。</w:t>
            </w:r>
          </w:p>
          <w:p>
            <w:pPr>
              <w:numPr>
                <w:ilvl w:val="0"/>
                <w:numId w:val="1"/>
              </w:numPr>
              <w:snapToGrid w:val="0"/>
              <w:spacing w:line="312" w:lineRule="auto"/>
              <w:ind w:left="0" w:leftChars="0" w:firstLineChars="0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产品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挂网价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为项目交货地点的交货价，包括但不限于出厂价、辅件配件费、货物配送到达最终目的地点的相关运输费、保险、进口环节税、商检费、消费税、增值税、仓储、装卸费、安装、检测、利润、税金、人员培训等伴随服务费，以及合同期内因标的物、人工工资、材料费、运输费等成本上涨所带来的风险。成交后不得在再向采购人收取任何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合同价款支付</w:t>
            </w:r>
          </w:p>
        </w:tc>
        <w:tc>
          <w:tcPr>
            <w:tcW w:w="6936" w:type="dxa"/>
            <w:vAlign w:val="center"/>
          </w:tcPr>
          <w:p>
            <w:pPr>
              <w:snapToGrid w:val="0"/>
              <w:spacing w:line="312" w:lineRule="auto"/>
              <w:ind w:left="210" w:leftChars="100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根据实际配送量的结算清单和供应商出具的相等的增值税发票资料，按月据实结算支付；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bookmarkStart w:id="0" w:name="_Toc28829"/>
            <w:bookmarkStart w:id="1" w:name="_Toc32743"/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履约验收</w:t>
            </w:r>
          </w:p>
        </w:tc>
        <w:tc>
          <w:tcPr>
            <w:tcW w:w="6936" w:type="dxa"/>
            <w:vAlign w:val="center"/>
          </w:tcPr>
          <w:p>
            <w:pPr>
              <w:snapToGrid w:val="0"/>
              <w:spacing w:line="312" w:lineRule="auto"/>
              <w:ind w:left="210" w:leftChars="100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参照《财政部关于进一步加强政府采购需求和履约验收管理的指导意见》（财库〔2016〕205号）、《政府采购需求管理办法》（财库〔2021〕22号）的要求进行验收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退换货条款</w:t>
            </w:r>
          </w:p>
        </w:tc>
        <w:tc>
          <w:tcPr>
            <w:tcW w:w="6936" w:type="dxa"/>
            <w:vAlign w:val="center"/>
          </w:tcPr>
          <w:p>
            <w:pPr>
              <w:snapToGrid w:val="0"/>
              <w:spacing w:line="312" w:lineRule="auto"/>
              <w:ind w:left="210" w:leftChars="100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符合下列情形之一的，可按合同约定进行退换货：符合下列情形之一的，可按合同约定进行退换货：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 xml:space="preserve">1、每次交货验收时，双方应对产品按照采购人下单的的品种、型号、规格和质量标准进行验收。验收不合格，供应商应无条件重新提供货物，如果仍然不符合质量要求的，采购人可提前终止采购合同。验收合格应由双方工作人员在供货清单上签字确认。          </w:t>
            </w:r>
          </w:p>
          <w:p>
            <w:pPr>
              <w:snapToGrid w:val="0"/>
              <w:spacing w:line="312" w:lineRule="auto"/>
              <w:ind w:left="210" w:leftChars="100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 xml:space="preserve">2、如果采购人在使用产品过程中发现产品质量不符合标准的，采购人可要求供应商立即退换。供应商在接到采购人口头或书面异议后，当日内应派人查看并应在3日内负责处理，否则视为供应商默认采购人提出的异议。如果供应商在采购人通知后3日内未做相应处理的，采购人有权终止协议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保险</w:t>
            </w:r>
          </w:p>
        </w:tc>
        <w:tc>
          <w:tcPr>
            <w:tcW w:w="6936" w:type="dxa"/>
            <w:vAlign w:val="center"/>
          </w:tcPr>
          <w:p>
            <w:pPr>
              <w:snapToGrid w:val="0"/>
              <w:spacing w:line="312" w:lineRule="auto"/>
              <w:ind w:left="210" w:leftChars="100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比选申请人自行运输标的物或委托承运人运输的，应为该批货物购买货物运输保险及运输工具航程保险，其损毁、灭失的风险自合同成立时起由比选申请人承担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其他要求</w:t>
            </w:r>
          </w:p>
        </w:tc>
        <w:tc>
          <w:tcPr>
            <w:tcW w:w="6936" w:type="dxa"/>
            <w:vAlign w:val="center"/>
          </w:tcPr>
          <w:p>
            <w:pPr>
              <w:snapToGrid w:val="0"/>
              <w:spacing w:line="312" w:lineRule="auto"/>
              <w:ind w:left="210" w:leftChars="100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在合同期内，当实际结算金额达到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预算金额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的70%时，供应商须在3个工作日内主动以书面文件（加盖供应商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公章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）通知采购单位；当实际结算金额达到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预算金额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的100%后，双方未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参照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《政府采购法》相关规定达成10%增量补充协议前，供应商未经采购单位（采购部门）确认仍自行继续送货，采购单位对超过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预算金额的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部分金额不予支付，由供应商自行承担相应损失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  <w:t>；</w:t>
            </w:r>
          </w:p>
        </w:tc>
      </w:tr>
      <w:bookmarkEnd w:id="0"/>
      <w:bookmarkEnd w:id="1"/>
    </w:tbl>
    <w:p>
      <w:pPr>
        <w:rPr>
          <w:rFonts w:hint="default"/>
          <w:color w:val="auto"/>
          <w:highlight w:val="none"/>
          <w:lang w:val="en-US"/>
        </w:rPr>
      </w:pPr>
      <w:r>
        <w:rPr>
          <w:rFonts w:hint="default"/>
          <w:color w:val="auto"/>
          <w:highlight w:val="none"/>
          <w:lang w:val="en-US"/>
        </w:rPr>
        <w:br w:type="page"/>
      </w: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highlight w:val="none"/>
          <w:lang w:val="en-US" w:eastAsia="zh-CN"/>
        </w:rPr>
        <w:t>报价表</w:t>
      </w:r>
    </w:p>
    <w:tbl>
      <w:tblPr>
        <w:tblStyle w:val="4"/>
        <w:tblW w:w="8790" w:type="dxa"/>
        <w:tblInd w:w="5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196"/>
        <w:gridCol w:w="1504"/>
        <w:gridCol w:w="1450"/>
        <w:gridCol w:w="1042"/>
        <w:gridCol w:w="1252"/>
        <w:gridCol w:w="159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1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15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品牌</w:t>
            </w:r>
            <w:r>
              <w:rPr>
                <w:rFonts w:hint="eastAsia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型号</w:t>
            </w:r>
          </w:p>
        </w:tc>
        <w:tc>
          <w:tcPr>
            <w:tcW w:w="14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10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单价（元）</w:t>
            </w:r>
          </w:p>
        </w:tc>
        <w:tc>
          <w:tcPr>
            <w:tcW w:w="12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网采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流水号</w:t>
            </w:r>
          </w:p>
        </w:tc>
        <w:tc>
          <w:tcPr>
            <w:tcW w:w="1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医保代码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042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四川医保公共服务平台挂网价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2" w:type="dxa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042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单价合计</w:t>
            </w:r>
          </w:p>
        </w:tc>
        <w:tc>
          <w:tcPr>
            <w:tcW w:w="38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四川医保公共服务平台挂网价</w:t>
            </w:r>
          </w:p>
        </w:tc>
      </w:tr>
    </w:tbl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highlight w:val="none"/>
        </w:rPr>
        <w:t>注：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1.报价应是最终用户验收合格后的总价，包括设备运输、保险、代理、安装调试、培训、税费、系统集成费用和采购文件规定的其它费用。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.“品目及报价表”为多页的，每页均需由法定代表人或授权代表签字并盖投标人印章。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如有多种规格，请按每种规格分别报价。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供应商名称：（盖章）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法定代表人或授权代表（签字）：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日期：</w:t>
      </w:r>
    </w:p>
    <w:p>
      <w:pPr>
        <w:spacing w:line="4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28"/>
          <w:szCs w:val="28"/>
          <w:highlight w:val="none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b/>
          <w:bCs/>
          <w:color w:val="auto"/>
          <w:sz w:val="28"/>
          <w:szCs w:val="28"/>
          <w:highlight w:val="none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b/>
          <w:bCs/>
          <w:color w:val="auto"/>
          <w:sz w:val="28"/>
          <w:szCs w:val="28"/>
          <w:highlight w:val="none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b/>
          <w:bCs/>
          <w:color w:val="auto"/>
          <w:sz w:val="28"/>
          <w:szCs w:val="28"/>
          <w:highlight w:val="none"/>
        </w:rPr>
      </w:pPr>
    </w:p>
    <w:p>
      <w:pPr>
        <w:rPr>
          <w:rFonts w:hint="eastAsia" w:ascii="方正小标宋_GBK" w:hAnsi="方正小标宋_GBK" w:eastAsia="方正小标宋_GBK" w:cs="方正小标宋_GBK"/>
          <w:b/>
          <w:bCs/>
          <w:color w:val="auto"/>
          <w:sz w:val="28"/>
          <w:szCs w:val="28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</w:rPr>
        <w:t>质量保证书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60" w:firstLineChars="150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u w:val="singl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u w:val="singl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u w:val="single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（制造商家名称）是在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u w:val="single"/>
        </w:rPr>
        <w:t xml:space="preserve">      .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（国名）依法登记注册的，其地址现在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。其主要营业地点现在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u w:val="single"/>
        </w:rPr>
        <w:t xml:space="preserve">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firstLine="600" w:firstLineChars="250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作为供应商，我方承诺，为本次招标提供的货物为原厂制造、合法渠道供应的全新产品。我方保证以投标合作者来约束自己，并对该投标共同承担和分别承担招标文件中所规定的义务。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0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 xml:space="preserve">供应商单位名称：       （盖章）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 xml:space="preserve">供应商单位法定代表人或授权代表（签字）：       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附：授权销售产品清单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2"/>
          <w:szCs w:val="22"/>
          <w:highlight w:val="none"/>
        </w:rPr>
      </w:pPr>
      <w:bookmarkStart w:id="2" w:name="_Toc174767233"/>
      <w:bookmarkStart w:id="3" w:name="_Toc237343703"/>
      <w:bookmarkStart w:id="4" w:name="_Toc9529516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highlight w:val="none"/>
        </w:rPr>
      </w:pPr>
    </w:p>
    <w:p>
      <w:pPr>
        <w:pStyle w:val="2"/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highlight w:val="none"/>
        </w:rPr>
      </w:pPr>
    </w:p>
    <w:p>
      <w:pPr>
        <w:pStyle w:val="2"/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</w:rPr>
        <w:t>法定代表人身份授权书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val="zh-CN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u w:val="single"/>
          <w:lang w:val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val="zh-CN"/>
        </w:rPr>
        <w:t>（采购单位名称）：</w:t>
      </w:r>
    </w:p>
    <w:p>
      <w:pPr>
        <w:keepNext w:val="0"/>
        <w:keepLines w:val="0"/>
        <w:pageBreakBefore w:val="0"/>
        <w:widowControl w:val="0"/>
        <w:tabs>
          <w:tab w:val="left" w:pos="720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val="zh-CN"/>
        </w:rPr>
        <w:t xml:space="preserve">   本授权声明：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u w:val="single"/>
          <w:lang w:val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val="zh-CN"/>
        </w:rPr>
        <w:t>（投标人名称）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u w:val="single"/>
          <w:lang w:val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val="zh-CN"/>
        </w:rPr>
        <w:t>（法定代表人姓名、职务）授权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u w:val="single"/>
          <w:lang w:val="zh-CN"/>
        </w:rPr>
        <w:t xml:space="preserve">                         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val="zh-CN"/>
        </w:rPr>
        <w:t>（被授权人姓名、职务）为我方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u w:val="single"/>
          <w:lang w:val="zh-CN"/>
        </w:rPr>
        <w:t xml:space="preserve"> “                                          ”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val="zh-CN"/>
        </w:rPr>
        <w:t>项目投标活动的合法代表，以我方名义全权处理该项目有关投标、签订合同以及执行合同等一切事宜。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特此声明。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法定代表人签字：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授权代表签字：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投标人名称：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 xml:space="preserve">      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日期：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 xml:space="preserve">    ★说明：上述证明文件附有法定代表人、被授权代表身份证复印件（加盖公章）时才能生效。</w:t>
      </w:r>
      <w:bookmarkEnd w:id="2"/>
      <w:bookmarkEnd w:id="3"/>
      <w:bookmarkEnd w:id="4"/>
    </w:p>
    <w:p>
      <w:pPr>
        <w:rPr>
          <w:rFonts w:hint="eastAsia" w:ascii="方正仿宋_GBK" w:hAnsi="方正仿宋_GBK" w:eastAsia="方正仿宋_GBK" w:cs="方正仿宋_GBK"/>
          <w:color w:val="auto"/>
          <w:highlight w:val="none"/>
        </w:rPr>
      </w:pPr>
    </w:p>
    <w:p>
      <w:pPr>
        <w:widowControl w:val="0"/>
        <w:spacing w:after="120"/>
        <w:ind w:firstLine="2100" w:firstLineChars="750"/>
        <w:jc w:val="both"/>
        <w:rPr>
          <w:rFonts w:hint="eastAsia" w:ascii="长城小标宋体" w:hAnsi="仿宋" w:eastAsia="长城小标宋体" w:cs="Times New Roman"/>
          <w:color w:val="auto"/>
          <w:kern w:val="2"/>
          <w:sz w:val="28"/>
          <w:szCs w:val="22"/>
          <w:highlight w:val="none"/>
          <w:lang w:val="en-US" w:eastAsia="zh-CN" w:bidi="ar-SA"/>
        </w:rPr>
      </w:pPr>
      <w:r>
        <w:rPr>
          <w:rFonts w:hint="eastAsia" w:ascii="长城小标宋体" w:hAnsi="仿宋" w:eastAsia="长城小标宋体" w:cs="Times New Roman"/>
          <w:color w:val="auto"/>
          <w:kern w:val="2"/>
          <w:sz w:val="28"/>
          <w:szCs w:val="22"/>
          <w:highlight w:val="none"/>
          <w:lang w:val="en-US" w:eastAsia="zh-CN" w:bidi="ar-SA"/>
        </w:rPr>
        <w:t xml:space="preserve"> </w:t>
      </w:r>
    </w:p>
    <w:p>
      <w:pPr>
        <w:widowControl w:val="0"/>
        <w:spacing w:after="120"/>
        <w:ind w:firstLine="2100" w:firstLineChars="750"/>
        <w:jc w:val="both"/>
        <w:rPr>
          <w:rFonts w:hint="eastAsia" w:ascii="长城小标宋体" w:hAnsi="仿宋" w:eastAsia="长城小标宋体" w:cs="Times New Roman"/>
          <w:color w:val="auto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/>
        <w:ind w:firstLine="2100" w:firstLineChars="750"/>
        <w:jc w:val="both"/>
        <w:rPr>
          <w:rFonts w:hint="eastAsia" w:ascii="长城小标宋体" w:hAnsi="仿宋" w:eastAsia="长城小标宋体" w:cs="Times New Roman"/>
          <w:color w:val="auto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/>
        <w:ind w:firstLine="2100" w:firstLineChars="750"/>
        <w:jc w:val="both"/>
        <w:rPr>
          <w:rFonts w:hint="eastAsia" w:ascii="长城小标宋体" w:hAnsi="仿宋" w:eastAsia="长城小标宋体" w:cs="Times New Roman"/>
          <w:color w:val="auto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/>
        <w:ind w:firstLine="2100" w:firstLineChars="750"/>
        <w:jc w:val="both"/>
        <w:rPr>
          <w:rFonts w:hint="eastAsia" w:ascii="长城小标宋体" w:hAnsi="仿宋" w:eastAsia="长城小标宋体" w:cs="Times New Roman"/>
          <w:color w:val="auto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/>
        <w:ind w:firstLine="2100" w:firstLineChars="750"/>
        <w:jc w:val="both"/>
        <w:rPr>
          <w:rFonts w:hint="eastAsia" w:ascii="长城小标宋体" w:hAnsi="仿宋" w:eastAsia="长城小标宋体" w:cs="Times New Roman"/>
          <w:color w:val="auto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/>
        <w:ind w:firstLine="2100" w:firstLineChars="750"/>
        <w:jc w:val="both"/>
        <w:rPr>
          <w:rFonts w:hint="eastAsia" w:ascii="长城小标宋体" w:hAnsi="仿宋" w:eastAsia="长城小标宋体" w:cs="Times New Roman"/>
          <w:color w:val="auto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/>
        <w:jc w:val="center"/>
        <w:rPr>
          <w:rFonts w:hint="eastAsia" w:ascii="方正小标宋_GBK" w:hAnsi="方正小标宋_GBK" w:eastAsia="方正小标宋_GBK" w:cs="方正小标宋_GBK"/>
          <w:color w:val="auto"/>
          <w:kern w:val="2"/>
          <w:sz w:val="28"/>
          <w:szCs w:val="22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28"/>
          <w:szCs w:val="22"/>
          <w:highlight w:val="none"/>
          <w:lang w:val="en-US" w:eastAsia="zh-CN" w:bidi="ar-SA"/>
        </w:rPr>
        <w:t>无围标、串标行为承诺书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  <w:t>本公司郑重承诺：我公司自觉遵守《中华人民共和国政府采购法》和《中华人民共和国政府采购法实施条例》的有关规定，我公司在参加本次采购活动中，无以下围标、串标行为：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  <w:t>1.不同供应商的投标文件由同一单位或者个人编制；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  <w:t>2.不同供应商委托同一单位或者个人办理投标事宜；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  <w:t>3.不同供应商的投标文件载明的项目管理成员或者联系人员为同一人；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  <w:t>4.不同供应商的投标文件异常一致或者投标报价呈规律性差异；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  <w:t>5.不同供应商的投标文件相互混装；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  <w:t>6.不同供应商的投标保证金从同一单位或者个人的账户转出；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  <w:t>7.不同供应商的董事、监事、高管、单位负责人为同一人或者存在控股、管理关系的不同单位参加同一采购项目；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  <w:t>8.供应商之间事先约定由某一特定供应商中标、成交；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  <w:t>9.供应商之间商定部分供应商放弃参加采购活动或者放弃中标、成交；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  <w:t>10.法律法规界定的其他围标串标行为。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  <w:t>我公司承诺在本项目采购活动中，与采购人不存在关联关系，与其他投标单位不存在关联关系。如被查实在本项目采购活动中存在围标、串标的，本公司将承担法律责任，接受相应的法律法规处罚。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</w:pP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  <w:t>投标人法人代表或委托代理人（承诺人） ：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  <w:t xml:space="preserve">投标人：（公章）  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  <w:t>日期：   年    月    日</w:t>
      </w:r>
    </w:p>
    <w:p>
      <w:pPr>
        <w:pStyle w:val="2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629" w:type="dxa"/>
        <w:tblInd w:w="353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350"/>
        <w:gridCol w:w="6429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  <w:t>医用耗材供应商考核细则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考核项目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考核标准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综合管理</w:t>
            </w:r>
          </w:p>
        </w:tc>
        <w:tc>
          <w:tcPr>
            <w:tcW w:w="6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Hans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廉洁配送：违反《医疗机构工作人员廉洁从业九项准则》；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Hans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医疗安全：因耗材质量或服务质量产生医疗事故；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Hans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经营资质：出现经营资质、经营许可或者备案文件过期，且其经营或许可范围未涵盖所配送耗材；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Hans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退换处理：供应商拒不退换近效期（3个月）或使用过程中有质量问题耗材（按批次退换）；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Hans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其他违反法律法规、医院明令禁止行为、协议或合同条款（资格性条款）；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Hans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任一行为均一票否决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资质管理（20分）</w:t>
            </w:r>
          </w:p>
        </w:tc>
        <w:tc>
          <w:tcPr>
            <w:tcW w:w="6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1、供应商资质：供应商资质齐全，按时间要求报送设备科，供应商每年12月前报送供应商全套资质备案，否则扣5分/次；其中，供应商资质：医疗器械经营企业许可证（经营二、三类医疗器械提供）、营业执照；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、耗材资质：耗材资质齐全，按时间要求报送设备科。（1）新进耗材：在第一次送货前报送给设备科，否则扣5分/次；（2）资质更新：在送耗材资质有过期、变更等情况，提前1个月报送设备科，否则扣5分/次；其中，医疗器械资质：耗材注册证/备案凭证、生产企业生产许可证、生产企业营业执照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耗材质量（20分）</w:t>
            </w:r>
          </w:p>
        </w:tc>
        <w:tc>
          <w:tcPr>
            <w:tcW w:w="6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、耗材质量符合国家标准和行业标准。（1）配送耗材在有效期内，否则扣10分/次；（2）耗材外包装无任何破损，无功能性损坏，否则扣1分/次；（3）送货单据齐全，一般耗材包括送货单、进货查验记录、批次质检报告；植入性耗材（零库存）除一般耗材要求的单据外，额外需要植入性耗材术前验收记录表、植入性耗材使用验收登记表、植入性耗材合格证粘贴页复印件；冷链存储耗材除一般耗材要求的单据外，还需要冷链运输交接单、温度记录单，否则扣2分/次；（4）耗材信息齐全，送货单据信息填写完整，送货单据信息与实物完全一致，耗材信息至少包含名称、规格/型号、单位、数量、单价、金额、生产企业、注册证号/备案凭证号/消毒耗材卫生许可证号、商品代码/流水号、生产日期、失效日期，否则扣1分/次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服务质量（20分）</w:t>
            </w:r>
          </w:p>
        </w:tc>
        <w:tc>
          <w:tcPr>
            <w:tcW w:w="6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配送服务：（1）配送时间，常规备货按医院报计划时间起，依双方合同执行，在接到采购人通知后48小时内将本合同约定的产品送到采购人指定地点；如果采购人急需该产品时，应在2小时内送达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否则扣1分/次；（2）配送数量，供应商须严格按照医院的订货数量送货，如因缺货或者凑整而改变配送数量的，须在下订单后24小时内告知并取得采购人员同意，否则扣1分/次；（3）配送地点，供应商将耗材配送至医院指定位置，否则扣1分/次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Hans"/>
              </w:rPr>
              <w:t>8.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票据管理：（1）分类开具发票，根据医院要求分类、分项开具发票，特殊采购项目发票单独开具，备注采购项目名称和编号，不符合要求的，限期10个工作日更正发票，否则扣2分/次；（2）按时开具发票，在每月10号将上月发票送到设备科和财务科审核，否则扣1分/次；（3）按规开具发票，发票内容须与送货信息完全一致，否则扣5分/次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挂网采购（20分）</w:t>
            </w:r>
          </w:p>
        </w:tc>
        <w:tc>
          <w:tcPr>
            <w:tcW w:w="6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订单管理：（1）耗材确认，配送耗材须与挂网信息完全一致，否则扣2分/次；（2）订单确认，供应商在医院下单后24小时内确认价格和配送关系，否则扣1分/次；（3）采购确认，每月最后一日前处理完上月所有挂网采购订单，否则扣3分/次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系统维护：（1）信息维护，供货商在确定配送关系后第一时间在药械监管平台维护系统信息，原则上不得跨月，否则扣2分/次；（2）票据上传，供应商每月15号前将上月所有订单发票信息维护进药械采购平台，否则扣2分/次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售后服务（20分）</w:t>
            </w:r>
          </w:p>
        </w:tc>
        <w:tc>
          <w:tcPr>
            <w:tcW w:w="6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专业技术培训，供应商无条件为医院提供必要专业技术培训，否则扣2分/次；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不良事件处置，供应商无条件配合医院进行医疗器械不良事件追踪、调查、定责、赔偿等，否则扣5分/次；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退换货处理，退换货耗材由供应商及时到医院进行处理，医院通知后10个工作日未处理的，扣2分/次；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其他管理要求，本制度未尽事宜，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由采购双方协商决定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，供应商未提异议，且未主动放弃配送服务资格，又拒不服从管理要求的，扣10分/次。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9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备注：满分100分，年度考核分≥80分判定为合格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A457D"/>
    <w:multiLevelType w:val="singleLevel"/>
    <w:tmpl w:val="731A457D"/>
    <w:lvl w:ilvl="0" w:tentative="0">
      <w:start w:val="1"/>
      <w:numFmt w:val="decimal"/>
      <w:suff w:val="nothing"/>
      <w:lvlText w:val="（%1）"/>
      <w:lvlJc w:val="left"/>
      <w:pPr>
        <w:ind w:left="-2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A31E2"/>
    <w:rsid w:val="532A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2025-09-12T06:53:00Z</dcterms:created>
  <dc:creator>OS</dc:creator>
  <cp:lastModifiedBy>們泊冬吴@^_^</cp:lastModifiedBy>
  <dcterms:modified xsi:type="dcterms:W3CDTF">2025-09-24T06:35:15Z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