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70" w:lineRule="atLeast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highlight w:val="none"/>
          <w:lang w:val="en-US" w:eastAsia="zh-CN"/>
        </w:rPr>
        <w:t>附件</w:t>
      </w:r>
    </w:p>
    <w:p>
      <w:pPr>
        <w:pStyle w:val="2"/>
        <w:spacing w:after="0" w:line="570" w:lineRule="atLeast"/>
        <w:rPr>
          <w:rFonts w:hint="default" w:ascii="Times New Roman" w:hAnsi="Times New Roman" w:eastAsia="方正黑体_GBK" w:cs="Times New Roman"/>
          <w:color w:val="auto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方正黑体_GBK" w:cs="Times New Roman"/>
          <w:color w:val="auto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一</w:t>
      </w:r>
      <w:r>
        <w:rPr>
          <w:rFonts w:hint="default" w:ascii="Times New Roman" w:hAnsi="Times New Roman" w:eastAsia="方正黑体_GBK" w:cs="Times New Roman"/>
          <w:color w:val="auto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.项目名称：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2025年第二批医用耗材、试剂配送服务采购项目。</w:t>
      </w:r>
    </w:p>
    <w:p>
      <w:pPr>
        <w:autoSpaceDE w:val="0"/>
        <w:autoSpaceDN w:val="0"/>
        <w:spacing w:line="520" w:lineRule="exact"/>
        <w:outlineLvl w:val="1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黑体_GBK" w:cs="Times New Roman"/>
          <w:color w:val="auto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二</w:t>
      </w:r>
      <w:r>
        <w:rPr>
          <w:rFonts w:hint="default" w:ascii="Times New Roman" w:hAnsi="Times New Roman" w:eastAsia="方正黑体_GBK" w:cs="Times New Roman"/>
          <w:color w:val="auto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.</w:t>
      </w: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4"/>
          <w:highlight w:val="none"/>
          <w:lang w:val="zh-CN" w:eastAsia="zh-CN"/>
        </w:rPr>
        <w:t>商务要求（</w:t>
      </w: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4"/>
          <w:highlight w:val="none"/>
          <w:lang w:val="en-US" w:eastAsia="zh-CN"/>
        </w:rPr>
        <w:t>实质性要求</w:t>
      </w: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4"/>
          <w:highlight w:val="none"/>
          <w:lang w:val="zh-CN" w:eastAsia="zh-CN"/>
        </w:rPr>
        <w:t>）</w:t>
      </w:r>
      <w:r>
        <w:rPr>
          <w:rFonts w:hint="default" w:ascii="Times New Roman" w:hAnsi="Times New Roman" w:eastAsia="方正黑体_GBK" w:cs="Times New Roman"/>
          <w:color w:val="auto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：</w:t>
      </w:r>
    </w:p>
    <w:tbl>
      <w:tblPr>
        <w:tblStyle w:val="4"/>
        <w:tblW w:w="92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741"/>
        <w:gridCol w:w="6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7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6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服务期</w:t>
            </w:r>
          </w:p>
        </w:tc>
        <w:tc>
          <w:tcPr>
            <w:tcW w:w="6936" w:type="dxa"/>
            <w:vAlign w:val="center"/>
          </w:tcPr>
          <w:p>
            <w:pPr>
              <w:snapToGrid w:val="0"/>
              <w:spacing w:line="312" w:lineRule="auto"/>
              <w:ind w:left="210" w:left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3年，合同一年一签（经考核合格后可签订下一年合同）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服务地点</w:t>
            </w:r>
          </w:p>
        </w:tc>
        <w:tc>
          <w:tcPr>
            <w:tcW w:w="6936" w:type="dxa"/>
            <w:vAlign w:val="center"/>
          </w:tcPr>
          <w:p>
            <w:pPr>
              <w:snapToGrid w:val="0"/>
              <w:spacing w:line="312" w:lineRule="auto"/>
              <w:ind w:left="210" w:left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采购人指定地点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产品质量保证期</w:t>
            </w:r>
          </w:p>
        </w:tc>
        <w:tc>
          <w:tcPr>
            <w:tcW w:w="6936" w:type="dxa"/>
            <w:vAlign w:val="center"/>
          </w:tcPr>
          <w:p>
            <w:pPr>
              <w:snapToGrid w:val="0"/>
              <w:spacing w:line="312" w:lineRule="auto"/>
              <w:ind w:left="210" w:left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1年，自每次耗材送达采购人指定地点之日起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报价</w:t>
            </w:r>
          </w:p>
        </w:tc>
        <w:tc>
          <w:tcPr>
            <w:tcW w:w="6936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12" w:lineRule="auto"/>
              <w:ind w:left="0" w:leftChars="0" w:firstLineChars="0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本项目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均为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挂网产品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无须进行任何报价，按照四川医保公共服务平台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当月最低挂网价且不得高于采购人上月采购价的原则执行。</w:t>
            </w:r>
          </w:p>
          <w:p>
            <w:pPr>
              <w:numPr>
                <w:ilvl w:val="0"/>
                <w:numId w:val="1"/>
              </w:numPr>
              <w:snapToGrid w:val="0"/>
              <w:spacing w:line="312" w:lineRule="auto"/>
              <w:ind w:left="0" w:leftChars="0" w:firstLineChars="0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产品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挂网价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为项目交货地点的交货价，包括但不限于出厂价、辅件配件费、货物配送到达最终目的地点的相关运输费、保险、进口环节税、商检费、消费税、增值税、仓储、装卸费、安装、检测、利润、税金、人员培训等伴随服务费，以及合同期内因标的物、人工工资、材料费、运输费等成本上涨所带来的风险。成交后不得在再向采购人收取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合同价款支付</w:t>
            </w:r>
          </w:p>
        </w:tc>
        <w:tc>
          <w:tcPr>
            <w:tcW w:w="6936" w:type="dxa"/>
            <w:vAlign w:val="center"/>
          </w:tcPr>
          <w:p>
            <w:pPr>
              <w:snapToGrid w:val="0"/>
              <w:spacing w:line="312" w:lineRule="auto"/>
              <w:ind w:left="210" w:left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根据实际配送量的结算清单和供应商出具的相等的增值税发票资料，按月据实结算支付；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bookmarkStart w:id="0" w:name="_Toc28829"/>
            <w:bookmarkStart w:id="1" w:name="_Toc32743"/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履约验收</w:t>
            </w:r>
          </w:p>
        </w:tc>
        <w:tc>
          <w:tcPr>
            <w:tcW w:w="6936" w:type="dxa"/>
            <w:vAlign w:val="center"/>
          </w:tcPr>
          <w:p>
            <w:pPr>
              <w:snapToGrid w:val="0"/>
              <w:spacing w:line="312" w:lineRule="auto"/>
              <w:ind w:left="210" w:left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参照《财政部关于进一步加强政府采购需求和履约验收管理的指导意见》（财库〔2016〕205号）、《政府采购需求管理办法》（财库〔2021〕22号）的要求进行验收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退换货条款</w:t>
            </w:r>
          </w:p>
        </w:tc>
        <w:tc>
          <w:tcPr>
            <w:tcW w:w="6936" w:type="dxa"/>
            <w:vAlign w:val="center"/>
          </w:tcPr>
          <w:p>
            <w:pPr>
              <w:snapToGrid w:val="0"/>
              <w:spacing w:line="312" w:lineRule="auto"/>
              <w:ind w:left="210" w:leftChars="100"/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符合下列情形之一的，可按合同约定进行退换货：符合下列情形之一的，可按合同约定进行退换货：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  <w:t xml:space="preserve">1、每次交货验收时，双方应对产品按照采购人下单的的品种、型号、规格和质量标准进行验收。验收不合格，供应商应无条件重新提供货物，如果仍然不符合质量要求的，采购人可提前终止采购合同。验收合格应由双方工作人员在供货清单上签字确认。          </w:t>
            </w:r>
          </w:p>
          <w:p>
            <w:pPr>
              <w:snapToGrid w:val="0"/>
              <w:spacing w:line="312" w:lineRule="auto"/>
              <w:ind w:left="210" w:left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  <w:t xml:space="preserve">2、如果采购人在使用产品过程中发现产品质量不符合标准的，采购人可要求供应商立即退换。供应商在接到采购人口头或书面异议后，当日内应派人查看并应在3日内负责处理，否则视为供应商默认采购人提出的异议。如果供应商在采购人通知后3日内未做相应处理的，采购人有权终止协议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保险</w:t>
            </w:r>
          </w:p>
        </w:tc>
        <w:tc>
          <w:tcPr>
            <w:tcW w:w="6936" w:type="dxa"/>
            <w:vAlign w:val="center"/>
          </w:tcPr>
          <w:p>
            <w:pPr>
              <w:snapToGrid w:val="0"/>
              <w:spacing w:line="312" w:lineRule="auto"/>
              <w:ind w:left="210" w:left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比选申请人自行运输标的物或委托承运人运输的，应为该批货物购买货物运输保险及运输工具航程保险，其损毁、灭失的风险自合同成立时起由比选申请人承担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其他要求</w:t>
            </w:r>
          </w:p>
        </w:tc>
        <w:tc>
          <w:tcPr>
            <w:tcW w:w="6936" w:type="dxa"/>
            <w:vAlign w:val="center"/>
          </w:tcPr>
          <w:p>
            <w:pPr>
              <w:snapToGrid w:val="0"/>
              <w:spacing w:line="312" w:lineRule="auto"/>
              <w:ind w:left="210" w:left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在合同期内，当实际结算金额达到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预算金额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的70%时，供应商须在3个工作日内主动以书面文件（加盖供应商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公章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）通知采购单位；当实际结算金额达到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预算金额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的100%后，双方未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参照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《政府采购法》相关规定达成10%增量补充协议前，供应商未经采购单位（采购部门）确认仍自行继续送货，采购单位对超过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预算金额的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部分金额不予支付，由供应商自行承担相应损失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</w:tc>
      </w:tr>
      <w:bookmarkEnd w:id="0"/>
      <w:bookmarkEnd w:id="1"/>
    </w:tbl>
    <w:p>
      <w:pPr>
        <w:rPr>
          <w:rFonts w:hint="default"/>
          <w:color w:val="auto"/>
          <w:highlight w:val="none"/>
          <w:lang w:val="en-US"/>
        </w:rPr>
      </w:pPr>
      <w:r>
        <w:rPr>
          <w:rFonts w:hint="default"/>
          <w:color w:val="auto"/>
          <w:highlight w:val="none"/>
          <w:lang w:val="en-US"/>
        </w:rPr>
        <w:br w:type="page"/>
      </w:r>
    </w:p>
    <w:p>
      <w:pPr>
        <w:pStyle w:val="2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highlight w:val="none"/>
          <w:lang w:val="en-US" w:eastAsia="zh-CN"/>
        </w:rPr>
        <w:t>报价表</w:t>
      </w:r>
    </w:p>
    <w:tbl>
      <w:tblPr>
        <w:tblStyle w:val="4"/>
        <w:tblW w:w="8790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1042"/>
        <w:gridCol w:w="1252"/>
        <w:gridCol w:w="159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品牌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型号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单价（元）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网采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流水号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医保代码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042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四川医保公共服务平台挂网价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042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单价合计</w:t>
            </w:r>
          </w:p>
        </w:tc>
        <w:tc>
          <w:tcPr>
            <w:tcW w:w="3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四川医保公共服务平台挂网价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  <w:highlight w:val="none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（制造商家名称）是在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。其主要营业地点现在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2"/>
          <w:szCs w:val="22"/>
          <w:highlight w:val="none"/>
        </w:rPr>
      </w:pPr>
      <w:bookmarkStart w:id="2" w:name="_Toc95295163"/>
      <w:bookmarkStart w:id="3" w:name="_Toc174767233"/>
      <w:bookmarkStart w:id="4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投标人名称：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 xml:space="preserve">    ★说明：上述证明文件附有法定代表人、被授权代表身份证复印件（加盖公章）时才能生效。</w:t>
      </w:r>
      <w:bookmarkEnd w:id="2"/>
      <w:bookmarkEnd w:id="3"/>
      <w:bookmarkEnd w:id="4"/>
    </w:p>
    <w:p>
      <w:pPr>
        <w:rPr>
          <w:rFonts w:hint="eastAsia" w:ascii="方正仿宋_GBK" w:hAnsi="方正仿宋_GBK" w:eastAsia="方正仿宋_GBK" w:cs="方正仿宋_GBK"/>
          <w:color w:val="auto"/>
          <w:highlight w:val="none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highlight w:val="none"/>
          <w:lang w:val="en-US" w:eastAsia="zh-CN" w:bidi="ar-SA"/>
        </w:rPr>
        <w:t xml:space="preserve"> </w:t>
      </w: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28"/>
          <w:szCs w:val="22"/>
          <w:highlight w:val="none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629" w:type="dxa"/>
        <w:tblInd w:w="353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50"/>
        <w:gridCol w:w="6429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医用耗材供应商考核细则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考核项目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考核标准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综合管理</w:t>
            </w:r>
          </w:p>
        </w:tc>
        <w:tc>
          <w:tcPr>
            <w:tcW w:w="6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Hans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廉洁配送：违反《医疗机构工作人员廉洁从业九项准则》；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Hans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医疗安全：因耗材质量或服务质量产生医疗事故；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Hans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经营资质：出现经营资质、经营许可或者备案文件过期，且其经营或许可范围未涵盖所配送耗材；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Hans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退换处理：供应商拒不退换近效期（3个月）或使用过程中有质量问题耗材（按批次退换）；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Hans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其他违反法律法规、医院明令禁止行为、协议或合同条款（资格性条款）；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Hans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任一行为均一票否决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资质管理（20分）</w:t>
            </w:r>
          </w:p>
        </w:tc>
        <w:tc>
          <w:tcPr>
            <w:tcW w:w="6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1、供应商资质：供应商资质齐全，按时间要求报送设备科，供应商每年12月前报送供应商全套资质备案，否则扣5分/次；其中，供应商资质：医疗器械经营企业许可证（经营二、三类医疗器械提供）、营业执照；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、耗材资质：耗材资质齐全，按时间要求报送设备科。（1）新进耗材：在第一次送货前报送给设备科，否则扣5分/次；（2）资质更新：在送耗材资质有过期、变更等情况，提前1个月报送设备科，否则扣5分/次；其中，医疗器械资质：耗材注册证/备案凭证、生产企业生产许可证、生产企业营业执照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耗材质量（20分）</w:t>
            </w:r>
          </w:p>
        </w:tc>
        <w:tc>
          <w:tcPr>
            <w:tcW w:w="6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、耗材质量符合国家标准和行业标准。（1）配送耗材在有效期内，否则扣10分/次；（2）耗材外包装无任何破损，无功能性损坏，否则扣1分/次；（3）送货单据齐全，一般耗材包括送货单、进货查验记录、批次质检报告；植入性耗材（零库存）除一般耗材要求的单据外，额外需要植入性耗材术前验收记录表、植入性耗材使用验收登记表、植入性耗材合格证粘贴页复印件；冷链存储耗材除一般耗材要求的单据外，还需要冷链运输交接单、温度记录单，否则扣2分/次；（4）耗材信息齐全，送货单据信息填写完整，送货单据信息与实物完全一致，耗材信息至少包含名称、规格/型号、单位、数量、单价、金额、生产企业、注册证号/备案凭证号/消毒耗材卫生许可证号、商品代码/流水号、生产日期、失效日期，否则扣1分/次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服务质量（20分）</w:t>
            </w:r>
          </w:p>
        </w:tc>
        <w:tc>
          <w:tcPr>
            <w:tcW w:w="6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配送服务：（1）配送时间，常规备货按医院报计划时间起，依双方合同执行，在接到采购人通知后48小时内将本合同约定的产品送到采购人指定地点；如果采购人急需该产品时，应在2小时内送达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否则扣1分/次；（2）配送数量，供应商须严格按照医院的订货数量送货，如因缺货或者凑整而改变配送数量的，须在下订单后24小时内告知并取得采购人员同意，否则扣1分/次；（3）配送地点，供应商将耗材配送至医院指定位置，否则扣1分/次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Hans"/>
              </w:rPr>
              <w:t>8.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票据管理：（1）分类开具发票，根据医院要求分类、分项开具发票，特殊采购项目发票单独开具，备注采购项目名称和编号，不符合要求的，限期10个工作日更正发票，否则扣2分/次；（2）按时开具发票，在每月10号将上月发票送到设备科和财务科审核，否则扣1分/次；（3）按规开具发票，发票内容须与送货信息完全一致，否则扣5分/次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挂网采购（20分）</w:t>
            </w:r>
          </w:p>
        </w:tc>
        <w:tc>
          <w:tcPr>
            <w:tcW w:w="6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订单管理：（1）耗材确认，配送耗材须与挂网信息完全一致，否则扣2分/次；（2）订单确认，供应商在医院下单后24小时内确认价格和配送关系，否则扣1分/次；（3）采购确认，每月最后一日前处理完上月所有挂网采购订单，否则扣3分/次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系统维护：（1）信息维护，供货商在确定配送关系后第一时间在药械监管平台维护系统信息，原则上不得跨月，否则扣2分/次；（2）票据上传，供应商每月15号前将上月所有订单发票信息维护进药械采购平台，否则扣2分/次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售后服务（20分）</w:t>
            </w:r>
          </w:p>
        </w:tc>
        <w:tc>
          <w:tcPr>
            <w:tcW w:w="6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专业技术培训，供应商无条件为医院提供必要专业技术培训，否则扣2分/次；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不良事件处置，供应商无条件配合医院进行医疗器械不良事件追踪、调查、定责、赔偿等，否则扣5分/次；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退换货处理，退换货耗材由供应商及时到医院进行处理，医院通知后10个工作日未处理的，扣2分/次；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其他管理要求，本制度未尽事宜，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由采购双方协商决定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，供应商未提异议，且未主动放弃配送服务资格，又拒不服从管理要求的，扣10分/次。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备注：满分100分，年度考核分≥80分判定为合格</w:t>
            </w:r>
          </w:p>
        </w:tc>
      </w:tr>
    </w:tbl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A457D"/>
    <w:multiLevelType w:val="singleLevel"/>
    <w:tmpl w:val="731A457D"/>
    <w:lvl w:ilvl="0" w:tentative="0">
      <w:start w:val="1"/>
      <w:numFmt w:val="decimal"/>
      <w:suff w:val="nothing"/>
      <w:lvlText w:val="（%1）"/>
      <w:lvlJc w:val="left"/>
      <w:pPr>
        <w:ind w:left="-2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A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2025-09-12T06:53:34Z</dcterms:created>
  <dc:creator>OS</dc:creator>
  <cp:lastModifiedBy>們泊冬吴@^_^</cp:lastModifiedBy>
  <dcterms:modified xsi:type="dcterms:W3CDTF">2025-09-12T06:55:08Z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