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70" w:lineRule="atLeast"/>
        <w:jc w:val="both"/>
        <w:rPr>
          <w:rFonts w:hint="default" w:ascii="Times New Roman" w:hAnsi="Times New Roman" w:eastAsia="方正小标宋_GBK" w:cs="Times New Roman"/>
          <w:color w:val="333333"/>
          <w:kern w:val="0"/>
          <w:sz w:val="32"/>
          <w:szCs w:val="32"/>
          <w:highlight w:val="none"/>
          <w:lang w:val="en-US" w:eastAsia="zh-CN"/>
        </w:rPr>
      </w:pPr>
      <w:r>
        <w:rPr>
          <w:rFonts w:hint="default" w:ascii="Times New Roman" w:hAnsi="Times New Roman" w:eastAsia="方正小标宋_GBK" w:cs="Times New Roman"/>
          <w:color w:val="333333"/>
          <w:kern w:val="0"/>
          <w:sz w:val="32"/>
          <w:szCs w:val="32"/>
          <w:highlight w:val="none"/>
          <w:lang w:val="en-US" w:eastAsia="zh-CN"/>
        </w:rPr>
        <w:t>附件：</w:t>
      </w:r>
    </w:p>
    <w:p>
      <w:pPr>
        <w:pStyle w:val="2"/>
        <w:spacing w:after="0" w:line="570" w:lineRule="atLeast"/>
        <w:rPr>
          <w:rFonts w:hint="default" w:ascii="Times New Roman" w:hAnsi="Times New Roman" w:eastAsia="方正黑体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一</w:t>
      </w:r>
      <w:r>
        <w:rPr>
          <w:rFonts w:hint="default" w:ascii="Times New Roman" w:hAnsi="Times New Roman" w:eastAsia="方正黑体_GBK" w:cs="Times New Roman"/>
          <w:kern w:val="2"/>
          <w:sz w:val="28"/>
          <w:szCs w:val="28"/>
          <w:highlight w:val="none"/>
          <w:lang w:val="en-US" w:eastAsia="zh-CN" w:bidi="ar-SA"/>
          <w14:ligatures w14:val="standardContextual"/>
        </w:rPr>
        <w:t>.项目名称：</w:t>
      </w:r>
      <w:r>
        <w:rPr>
          <w:rFonts w:hint="default" w:ascii="Times New Roman" w:hAnsi="Times New Roman" w:eastAsia="方正仿宋_GBK" w:cs="Times New Roman"/>
          <w:kern w:val="2"/>
          <w:sz w:val="28"/>
          <w:szCs w:val="28"/>
          <w:highlight w:val="none"/>
          <w:lang w:val="en-US" w:eastAsia="zh-CN" w:bidi="ar-SA"/>
          <w14:ligatures w14:val="standardContextual"/>
        </w:rPr>
        <w:t>网络安全设备升级服务采购项目。</w:t>
      </w:r>
    </w:p>
    <w:p>
      <w:pPr>
        <w:pStyle w:val="2"/>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二</w:t>
      </w:r>
      <w:r>
        <w:rPr>
          <w:rFonts w:hint="default" w:ascii="Times New Roman" w:hAnsi="Times New Roman" w:eastAsia="方正黑体_GBK" w:cs="Times New Roman"/>
          <w:kern w:val="2"/>
          <w:sz w:val="28"/>
          <w:szCs w:val="28"/>
          <w:highlight w:val="none"/>
          <w:lang w:val="en-US" w:eastAsia="zh-CN" w:bidi="ar-SA"/>
          <w14:ligatures w14:val="standardContextual"/>
        </w:rPr>
        <w:t>.最高限价：</w:t>
      </w:r>
      <w:r>
        <w:rPr>
          <w:rFonts w:hint="eastAsia" w:eastAsia="方正仿宋_GBK" w:cs="Times New Roman"/>
          <w:kern w:val="2"/>
          <w:sz w:val="28"/>
          <w:szCs w:val="28"/>
          <w:highlight w:val="none"/>
          <w:lang w:val="en-US" w:eastAsia="zh-CN" w:bidi="ar-SA"/>
          <w14:ligatures w14:val="standardContextual"/>
        </w:rPr>
        <w:t>3.6</w:t>
      </w:r>
      <w:r>
        <w:rPr>
          <w:rFonts w:hint="default" w:ascii="Times New Roman" w:hAnsi="Times New Roman" w:eastAsia="方正仿宋_GBK" w:cs="Times New Roman"/>
          <w:kern w:val="2"/>
          <w:sz w:val="28"/>
          <w:szCs w:val="28"/>
          <w:highlight w:val="none"/>
          <w:lang w:val="en-US" w:eastAsia="zh-CN" w:bidi="ar-SA"/>
          <w14:ligatures w14:val="standardContextual"/>
        </w:rPr>
        <w:t>万元</w:t>
      </w:r>
      <w:r>
        <w:rPr>
          <w:rFonts w:hint="eastAsia" w:eastAsia="方正仿宋_GBK" w:cs="Times New Roman"/>
          <w:kern w:val="2"/>
          <w:sz w:val="28"/>
          <w:szCs w:val="28"/>
          <w:highlight w:val="none"/>
          <w:lang w:val="en-US" w:eastAsia="zh-CN" w:bidi="ar-SA"/>
          <w14:ligatures w14:val="standardContextual"/>
        </w:rPr>
        <w:t>，超过限价的报价其响应文件作无效处理</w:t>
      </w:r>
      <w:r>
        <w:rPr>
          <w:rFonts w:hint="default" w:ascii="Times New Roman" w:hAnsi="Times New Roman" w:eastAsia="方正仿宋_GBK" w:cs="Times New Roman"/>
          <w:kern w:val="2"/>
          <w:sz w:val="28"/>
          <w:szCs w:val="28"/>
          <w:highlight w:val="none"/>
          <w:lang w:val="en-US" w:eastAsia="zh-CN" w:bidi="ar-SA"/>
          <w14:ligatures w14:val="standardContextual"/>
        </w:rPr>
        <w:t>。</w:t>
      </w:r>
    </w:p>
    <w:p>
      <w:pPr>
        <w:pStyle w:val="2"/>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sz w:val="32"/>
          <w:szCs w:val="32"/>
          <w:highlight w:val="none"/>
        </w:rPr>
        <w:t>★</w:t>
      </w:r>
      <w:r>
        <w:rPr>
          <w:rFonts w:hint="eastAsia" w:eastAsia="方正黑体_GBK" w:cs="Times New Roman"/>
          <w:kern w:val="2"/>
          <w:sz w:val="28"/>
          <w:szCs w:val="28"/>
          <w:highlight w:val="none"/>
          <w:lang w:val="en-US" w:eastAsia="zh-CN" w:bidi="ar-SA"/>
          <w14:ligatures w14:val="standardContextual"/>
        </w:rPr>
        <w:t>三</w:t>
      </w:r>
      <w:r>
        <w:rPr>
          <w:rFonts w:hint="default" w:ascii="Times New Roman" w:hAnsi="Times New Roman" w:eastAsia="方正黑体_GBK" w:cs="Times New Roman"/>
          <w:kern w:val="2"/>
          <w:sz w:val="28"/>
          <w:szCs w:val="28"/>
          <w:highlight w:val="none"/>
          <w:lang w:val="en-US" w:eastAsia="zh-CN" w:bidi="ar-SA"/>
          <w14:ligatures w14:val="standardContextual"/>
        </w:rPr>
        <w:t>.相关要求：</w:t>
      </w:r>
    </w:p>
    <w:p>
      <w:pPr>
        <w:pStyle w:val="2"/>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仿宋_GBK" w:cs="Times New Roman"/>
          <w:kern w:val="2"/>
          <w:sz w:val="28"/>
          <w:szCs w:val="28"/>
          <w:highlight w:val="none"/>
          <w:lang w:val="en-US" w:eastAsia="zh-CN" w:bidi="ar-SA"/>
          <w14:ligatures w14:val="standardContextual"/>
        </w:rPr>
        <w:t>（一）</w:t>
      </w:r>
      <w:r>
        <w:rPr>
          <w:rFonts w:hint="default" w:ascii="Times New Roman" w:hAnsi="Times New Roman" w:eastAsia="方正仿宋_GBK" w:cs="Times New Roman"/>
          <w:kern w:val="2"/>
          <w:sz w:val="28"/>
          <w:szCs w:val="28"/>
          <w:highlight w:val="none"/>
          <w:lang w:val="en-US" w:eastAsia="zh-CN" w:bidi="ar-SA"/>
          <w14:ligatures w14:val="standardContextual"/>
        </w:rPr>
        <w:t>服务内容</w:t>
      </w:r>
      <w:r>
        <w:rPr>
          <w:rFonts w:hint="eastAsia" w:eastAsia="方正仿宋_GBK" w:cs="Times New Roman"/>
          <w:kern w:val="2"/>
          <w:sz w:val="28"/>
          <w:szCs w:val="28"/>
          <w:highlight w:val="none"/>
          <w:lang w:val="en-US" w:eastAsia="zh-CN" w:bidi="ar-SA"/>
          <w14:ligatures w14:val="standardContextual"/>
        </w:rPr>
        <w:t>及要求</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color w:val="auto"/>
          <w:kern w:val="0"/>
          <w:sz w:val="28"/>
          <w:szCs w:val="28"/>
          <w:highlight w:val="none"/>
          <w:shd w:val="clear" w:fill="FFFFFF"/>
          <w:lang w:val="en-US" w:eastAsia="zh-CN" w:bidi="ar"/>
        </w:rPr>
      </w:pPr>
      <w:r>
        <w:rPr>
          <w:rFonts w:hint="eastAsia" w:ascii="Times New Roman" w:hAnsi="Times New Roman" w:eastAsia="方正仿宋_GBK" w:cs="Times New Roman"/>
          <w:color w:val="auto"/>
          <w:kern w:val="0"/>
          <w:sz w:val="28"/>
          <w:szCs w:val="28"/>
          <w:highlight w:val="none"/>
          <w:shd w:val="clear" w:fill="FFFFFF"/>
          <w:lang w:val="en-US" w:eastAsia="zh-CN" w:bidi="ar"/>
        </w:rPr>
        <w:t>成都市金牛区妇幼保健院采购了深信服的防火墙、上网行为管理等安全设备。目前以上设备的病毒库和URL库升级期限已经过期，为确保硬件平稳、安全运行，病毒库和URL库得以及时更新，确保设备持续稳定运行及安全保障能力，结合设备的使用年限与在使用过程中的硬件持续稳定性，软件版本与硬件版本的耦合与匹配性，从项目的实用性、可用性、必要性与连续性出发考虑：防火墙和上网行为管理软件版本无需持续更新，需要升级病毒库和URL&amp;应用识别规则库升级服务。服务内容如下：</w:t>
      </w:r>
    </w:p>
    <w:tbl>
      <w:tblPr>
        <w:tblStyle w:val="5"/>
        <w:tblW w:w="9360" w:type="dxa"/>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75"/>
        <w:gridCol w:w="1579"/>
        <w:gridCol w:w="2081"/>
        <w:gridCol w:w="887"/>
        <w:gridCol w:w="23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 w:hRule="atLeast"/>
        </w:trPr>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jc w:val="center"/>
              <w:textAlignment w:val="auto"/>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设备名称</w:t>
            </w:r>
          </w:p>
        </w:tc>
        <w:tc>
          <w:tcPr>
            <w:tcW w:w="157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设备品牌</w:t>
            </w:r>
          </w:p>
        </w:tc>
        <w:tc>
          <w:tcPr>
            <w:tcW w:w="2081"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jc w:val="center"/>
              <w:textAlignment w:val="auto"/>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设备型号</w:t>
            </w:r>
          </w:p>
        </w:tc>
        <w:tc>
          <w:tcPr>
            <w:tcW w:w="887"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数量</w:t>
            </w:r>
          </w:p>
        </w:tc>
        <w:tc>
          <w:tcPr>
            <w:tcW w:w="2338"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升级内容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内网边界防火墙</w:t>
            </w:r>
          </w:p>
        </w:tc>
        <w:tc>
          <w:tcPr>
            <w:tcW w:w="157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深信服</w:t>
            </w:r>
          </w:p>
        </w:tc>
        <w:tc>
          <w:tcPr>
            <w:tcW w:w="2081"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AF-1000-L4178</w:t>
            </w:r>
          </w:p>
        </w:tc>
        <w:tc>
          <w:tcPr>
            <w:tcW w:w="887"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1</w:t>
            </w:r>
          </w:p>
        </w:tc>
        <w:tc>
          <w:tcPr>
            <w:tcW w:w="2338"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病毒库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数据库防火墙</w:t>
            </w:r>
          </w:p>
        </w:tc>
        <w:tc>
          <w:tcPr>
            <w:tcW w:w="157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深信服</w:t>
            </w:r>
          </w:p>
        </w:tc>
        <w:tc>
          <w:tcPr>
            <w:tcW w:w="2081"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AF-1000-E800</w:t>
            </w:r>
          </w:p>
        </w:tc>
        <w:tc>
          <w:tcPr>
            <w:tcW w:w="887"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2</w:t>
            </w:r>
          </w:p>
        </w:tc>
        <w:tc>
          <w:tcPr>
            <w:tcW w:w="2338"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病毒库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外网边界防火墙</w:t>
            </w:r>
          </w:p>
        </w:tc>
        <w:tc>
          <w:tcPr>
            <w:tcW w:w="157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深信服</w:t>
            </w:r>
          </w:p>
        </w:tc>
        <w:tc>
          <w:tcPr>
            <w:tcW w:w="2081"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AF-1000-B1510</w:t>
            </w:r>
          </w:p>
        </w:tc>
        <w:tc>
          <w:tcPr>
            <w:tcW w:w="887"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1</w:t>
            </w:r>
          </w:p>
        </w:tc>
        <w:tc>
          <w:tcPr>
            <w:tcW w:w="2338"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病毒库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上网行为管理</w:t>
            </w:r>
          </w:p>
        </w:tc>
        <w:tc>
          <w:tcPr>
            <w:tcW w:w="157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深信服</w:t>
            </w:r>
          </w:p>
        </w:tc>
        <w:tc>
          <w:tcPr>
            <w:tcW w:w="2081"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AC-1000-D600</w:t>
            </w:r>
          </w:p>
        </w:tc>
        <w:tc>
          <w:tcPr>
            <w:tcW w:w="887"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1</w:t>
            </w:r>
          </w:p>
        </w:tc>
        <w:tc>
          <w:tcPr>
            <w:tcW w:w="2338"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URL&amp;应用识别规则库</w:t>
            </w:r>
          </w:p>
        </w:tc>
      </w:tr>
    </w:tbl>
    <w:p>
      <w:pPr>
        <w:keepNext w:val="0"/>
        <w:keepLines w:val="0"/>
        <w:pageBreakBefore w:val="0"/>
        <w:numPr>
          <w:ilvl w:val="0"/>
          <w:numId w:val="0"/>
        </w:numPr>
        <w:kinsoku/>
        <w:wordWrap/>
        <w:overflowPunct/>
        <w:topLinePunct w:val="0"/>
        <w:autoSpaceDE/>
        <w:autoSpaceDN/>
        <w:bidi w:val="0"/>
        <w:adjustRightInd/>
        <w:snapToGrid/>
        <w:spacing w:line="570" w:lineRule="exact"/>
        <w:ind w:firstLine="560" w:firstLineChars="200"/>
        <w:textAlignment w:val="auto"/>
        <w:rPr>
          <w:rFonts w:hint="eastAsia" w:ascii="Times New Roman" w:hAnsi="Times New Roman" w:eastAsia="方正仿宋_GBK" w:cs="Times New Roman"/>
          <w:color w:val="auto"/>
          <w:kern w:val="0"/>
          <w:sz w:val="28"/>
          <w:szCs w:val="28"/>
          <w:highlight w:val="none"/>
          <w:shd w:val="clear" w:fill="FFFFFF"/>
          <w:lang w:val="en-US" w:eastAsia="zh-CN" w:bidi="ar"/>
        </w:rPr>
      </w:pPr>
      <w:r>
        <w:rPr>
          <w:rFonts w:hint="eastAsia" w:ascii="Times New Roman" w:hAnsi="Times New Roman" w:eastAsia="方正仿宋_GBK" w:cs="Times New Roman"/>
          <w:color w:val="auto"/>
          <w:kern w:val="0"/>
          <w:sz w:val="28"/>
          <w:szCs w:val="28"/>
          <w:highlight w:val="none"/>
          <w:shd w:val="clear" w:fill="FFFFFF"/>
          <w:lang w:val="en-US" w:eastAsia="zh-CN" w:bidi="ar"/>
        </w:rPr>
        <w:t>要求该项目是由经过原厂商技术培训并取得授权认证的技术人员提供相关服务和技术支持，需提供证明材料（格式自拟）。</w:t>
      </w:r>
    </w:p>
    <w:p>
      <w:pPr>
        <w:rPr>
          <w:rFonts w:hint="default"/>
          <w:highlight w:val="none"/>
          <w:lang w:val="en-US" w:eastAsia="zh-CN"/>
        </w:rPr>
      </w:pPr>
    </w:p>
    <w:p>
      <w:pPr>
        <w:pStyle w:val="2"/>
        <w:rPr>
          <w:rFonts w:hint="default"/>
          <w:highlight w:val="none"/>
          <w:lang w:val="en-US" w:eastAsia="zh-CN"/>
        </w:rPr>
      </w:pPr>
    </w:p>
    <w:p>
      <w:pPr>
        <w:widowControl/>
        <w:numPr>
          <w:ilvl w:val="0"/>
          <w:numId w:val="1"/>
        </w:numPr>
        <w:adjustRightInd w:val="0"/>
        <w:snapToGrid w:val="0"/>
        <w:spacing w:after="0" w:line="360" w:lineRule="auto"/>
        <w:ind w:firstLine="0" w:firstLineChars="0"/>
        <w:jc w:val="lef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商务服务要求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559" w:leftChars="266" w:right="0" w:firstLine="0" w:firstLineChars="0"/>
        <w:textAlignment w:val="auto"/>
        <w:rPr>
          <w:rFonts w:hint="eastAsia" w:ascii="Times New Roman" w:hAnsi="Times New Roman" w:eastAsia="方正仿宋_GBK" w:cs="Times New Roman"/>
          <w:color w:val="auto"/>
          <w:kern w:val="0"/>
          <w:sz w:val="28"/>
          <w:szCs w:val="28"/>
          <w:highlight w:val="none"/>
          <w:shd w:val="clear" w:fill="FFFFFF"/>
          <w:lang w:val="en-US" w:eastAsia="zh-CN" w:bidi="ar"/>
        </w:rPr>
      </w:pPr>
      <w:r>
        <w:rPr>
          <w:rFonts w:hint="eastAsia" w:ascii="Times New Roman" w:hAnsi="Times New Roman" w:eastAsia="方正仿宋_GBK" w:cs="Times New Roman"/>
          <w:color w:val="auto"/>
          <w:kern w:val="0"/>
          <w:sz w:val="28"/>
          <w:szCs w:val="28"/>
          <w:highlight w:val="none"/>
          <w:shd w:val="clear" w:fill="FFFFFF"/>
          <w:lang w:val="en-US" w:eastAsia="zh-CN" w:bidi="ar"/>
        </w:rPr>
        <w:t>1.</w:t>
      </w:r>
      <w:r>
        <w:rPr>
          <w:rFonts w:hint="default" w:ascii="Times New Roman" w:hAnsi="Times New Roman" w:eastAsia="方正仿宋_GBK" w:cs="Times New Roman"/>
          <w:color w:val="auto"/>
          <w:kern w:val="0"/>
          <w:sz w:val="28"/>
          <w:szCs w:val="28"/>
          <w:highlight w:val="none"/>
          <w:shd w:val="clear" w:fill="FFFFFF"/>
          <w:lang w:val="en-US" w:eastAsia="zh-CN" w:bidi="ar"/>
        </w:rPr>
        <w:t>期限：本项目的</w:t>
      </w:r>
      <w:r>
        <w:rPr>
          <w:rFonts w:hint="eastAsia" w:ascii="Times New Roman" w:hAnsi="Times New Roman" w:eastAsia="方正仿宋_GBK" w:cs="Times New Roman"/>
          <w:color w:val="auto"/>
          <w:kern w:val="0"/>
          <w:sz w:val="28"/>
          <w:szCs w:val="28"/>
          <w:highlight w:val="none"/>
          <w:shd w:val="clear" w:fill="FFFFFF"/>
          <w:lang w:val="en-US" w:eastAsia="zh-CN" w:bidi="ar"/>
        </w:rPr>
        <w:t>安全设备升级续费服务期</w:t>
      </w:r>
      <w:r>
        <w:rPr>
          <w:rFonts w:hint="default" w:ascii="Times New Roman" w:hAnsi="Times New Roman" w:eastAsia="方正仿宋_GBK" w:cs="Times New Roman"/>
          <w:color w:val="auto"/>
          <w:kern w:val="0"/>
          <w:sz w:val="28"/>
          <w:szCs w:val="28"/>
          <w:highlight w:val="none"/>
          <w:shd w:val="clear" w:fill="FFFFFF"/>
          <w:lang w:val="en-US" w:eastAsia="zh-CN" w:bidi="ar"/>
        </w:rPr>
        <w:t>限为1年</w:t>
      </w:r>
      <w:r>
        <w:rPr>
          <w:rFonts w:hint="eastAsia" w:ascii="Times New Roman" w:hAnsi="Times New Roman" w:eastAsia="方正仿宋_GBK" w:cs="Times New Roman"/>
          <w:color w:val="auto"/>
          <w:kern w:val="0"/>
          <w:sz w:val="28"/>
          <w:szCs w:val="28"/>
          <w:highlight w:val="none"/>
          <w:shd w:val="clear" w:fill="FFFFFF"/>
          <w:lang w:val="en-US" w:eastAsia="zh-CN" w:bidi="ar"/>
        </w:rPr>
        <w:t>。</w:t>
      </w:r>
      <w:r>
        <w:rPr>
          <w:rFonts w:hint="eastAsia" w:ascii="Times New Roman" w:hAnsi="Times New Roman" w:eastAsia="方正仿宋_GBK" w:cs="Times New Roman"/>
          <w:color w:val="auto"/>
          <w:kern w:val="0"/>
          <w:sz w:val="28"/>
          <w:szCs w:val="28"/>
          <w:highlight w:val="none"/>
          <w:shd w:val="clear" w:fill="FFFFFF"/>
          <w:lang w:val="en-US" w:eastAsia="zh-CN" w:bidi="ar"/>
        </w:rPr>
        <w:br w:type="textWrapping"/>
      </w:r>
      <w:r>
        <w:rPr>
          <w:rFonts w:hint="eastAsia" w:ascii="Times New Roman" w:hAnsi="Times New Roman" w:eastAsia="方正仿宋_GBK" w:cs="Times New Roman"/>
          <w:color w:val="auto"/>
          <w:kern w:val="0"/>
          <w:sz w:val="28"/>
          <w:szCs w:val="28"/>
          <w:highlight w:val="none"/>
          <w:shd w:val="clear" w:fill="FFFFFF"/>
          <w:lang w:val="en-US" w:eastAsia="zh-CN" w:bidi="ar"/>
        </w:rPr>
        <w:t>2.</w:t>
      </w:r>
      <w:r>
        <w:rPr>
          <w:rFonts w:hint="default" w:ascii="Times New Roman" w:hAnsi="Times New Roman" w:eastAsia="方正仿宋_GBK" w:cs="Times New Roman"/>
          <w:color w:val="auto"/>
          <w:kern w:val="0"/>
          <w:sz w:val="28"/>
          <w:szCs w:val="28"/>
          <w:highlight w:val="none"/>
          <w:shd w:val="clear" w:fill="FFFFFF"/>
          <w:lang w:val="en-US" w:eastAsia="zh-CN" w:bidi="ar"/>
        </w:rPr>
        <w:t>履约</w:t>
      </w:r>
      <w:r>
        <w:rPr>
          <w:rFonts w:hint="eastAsia" w:ascii="Times New Roman" w:hAnsi="Times New Roman" w:eastAsia="方正仿宋_GBK" w:cs="Times New Roman"/>
          <w:color w:val="auto"/>
          <w:kern w:val="0"/>
          <w:sz w:val="28"/>
          <w:szCs w:val="28"/>
          <w:highlight w:val="none"/>
          <w:shd w:val="clear" w:fill="FFFFFF"/>
          <w:lang w:val="en-US" w:eastAsia="zh-CN" w:bidi="ar"/>
        </w:rPr>
        <w:t>地点：成都市金牛区妇幼保健院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default" w:ascii="Times New Roman" w:hAnsi="Times New Roman" w:eastAsia="方正仿宋_GBK" w:cs="Times New Roman"/>
          <w:color w:val="auto"/>
          <w:kern w:val="0"/>
          <w:sz w:val="28"/>
          <w:szCs w:val="28"/>
          <w:highlight w:val="none"/>
          <w:shd w:val="clear" w:fill="FFFFFF"/>
          <w:lang w:val="en-US" w:eastAsia="zh-CN" w:bidi="ar"/>
        </w:rPr>
      </w:pPr>
      <w:r>
        <w:rPr>
          <w:rFonts w:hint="eastAsia" w:ascii="Times New Roman" w:hAnsi="Times New Roman" w:eastAsia="方正仿宋_GBK" w:cs="Times New Roman"/>
          <w:color w:val="auto"/>
          <w:kern w:val="0"/>
          <w:sz w:val="28"/>
          <w:szCs w:val="28"/>
          <w:highlight w:val="none"/>
          <w:shd w:val="clear" w:fill="FFFFFF"/>
          <w:lang w:val="en-US" w:eastAsia="zh-CN" w:bidi="ar"/>
        </w:rPr>
        <w:t>3.付款方式：项目验收后，采购人收到供应商发票后支付合同金额的100%。</w:t>
      </w:r>
      <w:r>
        <w:rPr>
          <w:rFonts w:hint="eastAsia" w:ascii="Times New Roman" w:hAnsi="Times New Roman" w:eastAsia="方正仿宋_GBK" w:cs="Times New Roman"/>
          <w:color w:val="auto"/>
          <w:kern w:val="0"/>
          <w:sz w:val="28"/>
          <w:szCs w:val="28"/>
          <w:highlight w:val="none"/>
          <w:shd w:val="clear" w:fill="FFFFFF"/>
          <w:lang w:val="en-US" w:eastAsia="zh-CN" w:bidi="ar"/>
        </w:rPr>
        <w:br w:type="textWrapping"/>
      </w:r>
      <w:r>
        <w:rPr>
          <w:rFonts w:hint="eastAsia" w:ascii="Times New Roman" w:hAnsi="Times New Roman" w:eastAsia="方正仿宋_GBK" w:cs="Times New Roman"/>
          <w:color w:val="auto"/>
          <w:kern w:val="0"/>
          <w:sz w:val="28"/>
          <w:szCs w:val="28"/>
          <w:highlight w:val="none"/>
          <w:shd w:val="clear" w:fill="FFFFFF"/>
          <w:lang w:val="en-US" w:eastAsia="zh-CN" w:bidi="ar"/>
        </w:rPr>
        <w:t xml:space="preserve">    4.履约验收：相关设备授权生效即为达到验收条件，其他未尽事宜参照《财政部关于进一步加强政府采购需求和履约验收管理的指导意见》（财库〔2016〕205号）等政府采购相关法律法规的要求进行。</w:t>
      </w:r>
      <w:r>
        <w:rPr>
          <w:rFonts w:hint="eastAsia" w:ascii="Times New Roman" w:hAnsi="Times New Roman" w:eastAsia="方正仿宋_GBK" w:cs="Times New Roman"/>
          <w:color w:val="auto"/>
          <w:kern w:val="0"/>
          <w:sz w:val="28"/>
          <w:szCs w:val="28"/>
          <w:highlight w:val="none"/>
          <w:shd w:val="clear" w:fill="FFFFFF"/>
          <w:lang w:val="en-US" w:eastAsia="zh-CN" w:bidi="ar"/>
        </w:rPr>
        <w:br w:type="textWrapping"/>
      </w:r>
      <w:r>
        <w:rPr>
          <w:rFonts w:hint="eastAsia" w:ascii="Times New Roman" w:hAnsi="Times New Roman" w:eastAsia="方正仿宋_GBK" w:cs="Times New Roman"/>
          <w:color w:val="auto"/>
          <w:kern w:val="0"/>
          <w:sz w:val="28"/>
          <w:szCs w:val="28"/>
          <w:highlight w:val="none"/>
          <w:shd w:val="clear" w:fill="FFFFFF"/>
          <w:lang w:val="en-US" w:eastAsia="zh-CN" w:bidi="ar"/>
        </w:rPr>
        <w:t xml:space="preserve">    5.包装方式及运输：</w:t>
      </w:r>
      <w:r>
        <w:rPr>
          <w:rFonts w:hint="eastAsia" w:ascii="Times New Roman" w:hAnsi="Times New Roman" w:eastAsia="方正仿宋_GBK" w:cs="Times New Roman"/>
          <w:color w:val="auto"/>
          <w:kern w:val="0"/>
          <w:sz w:val="28"/>
          <w:szCs w:val="28"/>
          <w:highlight w:val="none"/>
          <w:shd w:val="clear" w:fill="FFFFFF"/>
          <w:lang w:val="en-US" w:eastAsia="zh-CN" w:bidi="ar"/>
        </w:rPr>
        <w:br w:type="textWrapping"/>
      </w:r>
      <w:r>
        <w:rPr>
          <w:rFonts w:hint="eastAsia" w:ascii="Times New Roman" w:hAnsi="Times New Roman" w:eastAsia="方正仿宋_GBK" w:cs="Times New Roman"/>
          <w:color w:val="auto"/>
          <w:kern w:val="0"/>
          <w:sz w:val="28"/>
          <w:szCs w:val="28"/>
          <w:highlight w:val="none"/>
          <w:shd w:val="clear" w:fill="FFFFFF"/>
          <w:lang w:val="en-US" w:eastAsia="zh-CN" w:bidi="ar"/>
        </w:rPr>
        <w:t xml:space="preserve">    涉及的商品包装和快递包装，均应符合《商品包装政府采购需求标准（试行）》《快递包装政府采购需求标准（试行）》的要求，包装应适应于远距离运输、防潮、防震、防锈和防野蛮装卸，以确保货物安全无损运抵指定地点。</w:t>
      </w:r>
    </w:p>
    <w:p>
      <w:pPr>
        <w:pStyle w:val="2"/>
        <w:numPr>
          <w:ilvl w:val="0"/>
          <w:numId w:val="0"/>
        </w:numPr>
        <w:rPr>
          <w:rFonts w:hint="eastAsia"/>
          <w:highlight w:val="none"/>
          <w:lang w:val="en-US" w:eastAsia="zh-CN"/>
        </w:rPr>
      </w:pPr>
    </w:p>
    <w:p>
      <w:pPr>
        <w:spacing w:after="0" w:line="570" w:lineRule="atLeast"/>
        <w:rPr>
          <w:rFonts w:hint="default" w:ascii="Times New Roman" w:hAnsi="Times New Roman" w:cs="Times New Roman"/>
          <w:highlight w:val="none"/>
          <w:lang w:val="en-US" w:eastAsia="zh-CN"/>
        </w:rPr>
      </w:pPr>
    </w:p>
    <w:p>
      <w:pPr>
        <w:spacing w:line="570" w:lineRule="atLeast"/>
        <w:rPr>
          <w:rFonts w:ascii="Times New Roman" w:hAnsi="Times New Roman" w:cs="Times New Roman"/>
          <w:highlight w:val="none"/>
        </w:rPr>
      </w:pPr>
      <w:r>
        <w:rPr>
          <w:rFonts w:hint="default" w:ascii="仿宋" w:hAnsi="仿宋" w:eastAsia="仿宋" w:cs="宋体"/>
          <w:b/>
          <w:bCs/>
          <w:color w:val="auto"/>
          <w:kern w:val="0"/>
          <w:sz w:val="24"/>
          <w:highlight w:val="none"/>
          <w:lang w:val="en-US" w:eastAsia="zh-CN"/>
        </w:rPr>
        <w:t>以上标注</w:t>
      </w:r>
      <w:r>
        <w:rPr>
          <w:rFonts w:ascii="仿宋" w:hAnsi="仿宋" w:eastAsia="仿宋" w:cs="宋体"/>
          <w:b/>
          <w:bCs/>
          <w:color w:val="auto"/>
          <w:kern w:val="0"/>
          <w:sz w:val="24"/>
          <w:highlight w:val="none"/>
        </w:rPr>
        <w:t>“</w:t>
      </w:r>
      <w:r>
        <w:rPr>
          <w:rFonts w:hint="eastAsia" w:ascii="仿宋" w:hAnsi="仿宋" w:eastAsia="仿宋" w:cs="宋体"/>
          <w:b/>
          <w:bCs/>
          <w:color w:val="auto"/>
          <w:kern w:val="0"/>
          <w:sz w:val="24"/>
          <w:highlight w:val="none"/>
        </w:rPr>
        <w:t>★</w:t>
      </w:r>
      <w:r>
        <w:rPr>
          <w:rFonts w:ascii="仿宋" w:hAnsi="仿宋" w:eastAsia="仿宋" w:cs="宋体"/>
          <w:b/>
          <w:bCs/>
          <w:color w:val="auto"/>
          <w:kern w:val="0"/>
          <w:sz w:val="24"/>
          <w:highlight w:val="none"/>
        </w:rPr>
        <w:t>”号</w:t>
      </w:r>
      <w:r>
        <w:rPr>
          <w:rFonts w:hint="default" w:ascii="仿宋" w:hAnsi="仿宋" w:eastAsia="仿宋" w:cs="宋体"/>
          <w:b/>
          <w:bCs/>
          <w:color w:val="auto"/>
          <w:kern w:val="0"/>
          <w:sz w:val="24"/>
          <w:highlight w:val="none"/>
          <w:lang w:val="en-US" w:eastAsia="zh-CN"/>
        </w:rPr>
        <w:t>的为本次</w:t>
      </w:r>
      <w:r>
        <w:rPr>
          <w:rFonts w:hint="eastAsia" w:ascii="仿宋" w:hAnsi="仿宋" w:eastAsia="仿宋" w:cs="宋体"/>
          <w:b/>
          <w:bCs/>
          <w:color w:val="auto"/>
          <w:kern w:val="0"/>
          <w:sz w:val="24"/>
          <w:highlight w:val="none"/>
          <w:lang w:val="en-US" w:eastAsia="zh-CN"/>
        </w:rPr>
        <w:t>采购</w:t>
      </w:r>
      <w:r>
        <w:rPr>
          <w:rFonts w:hint="default" w:ascii="仿宋" w:hAnsi="仿宋" w:eastAsia="仿宋" w:cs="宋体"/>
          <w:b/>
          <w:bCs/>
          <w:color w:val="auto"/>
          <w:kern w:val="0"/>
          <w:sz w:val="24"/>
          <w:highlight w:val="none"/>
          <w:lang w:val="en-US" w:eastAsia="zh-CN"/>
        </w:rPr>
        <w:t>项目的</w:t>
      </w:r>
      <w:r>
        <w:rPr>
          <w:rFonts w:ascii="仿宋" w:hAnsi="仿宋" w:eastAsia="仿宋" w:cs="宋体"/>
          <w:b/>
          <w:bCs/>
          <w:color w:val="auto"/>
          <w:kern w:val="0"/>
          <w:sz w:val="24"/>
          <w:highlight w:val="none"/>
        </w:rPr>
        <w:t>的实质性要求，供应商应全部满足</w:t>
      </w:r>
      <w:r>
        <w:rPr>
          <w:rFonts w:hint="eastAsia" w:ascii="仿宋" w:hAnsi="仿宋" w:eastAsia="仿宋" w:cs="宋体"/>
          <w:b/>
          <w:bCs/>
          <w:color w:val="auto"/>
          <w:kern w:val="0"/>
          <w:sz w:val="24"/>
          <w:highlight w:val="none"/>
        </w:rPr>
        <w:t>。</w:t>
      </w:r>
    </w:p>
    <w:p>
      <w:pPr>
        <w:spacing w:line="570" w:lineRule="atLeast"/>
        <w:rPr>
          <w:rFonts w:ascii="Times New Roman" w:hAnsi="Times New Roman" w:cs="Times New Roman"/>
          <w:highlight w:val="none"/>
        </w:rPr>
      </w:pPr>
    </w:p>
    <w:p>
      <w:pPr>
        <w:pStyle w:val="2"/>
        <w:spacing w:line="570" w:lineRule="atLeast"/>
        <w:rPr>
          <w:highlight w:val="none"/>
        </w:rPr>
      </w:pPr>
    </w:p>
    <w:p>
      <w:pPr>
        <w:pStyle w:val="2"/>
        <w:spacing w:line="570" w:lineRule="atLeast"/>
        <w:rPr>
          <w:highlight w:val="none"/>
        </w:rPr>
      </w:pPr>
    </w:p>
    <w:p>
      <w:pPr>
        <w:spacing w:line="570" w:lineRule="atLeast"/>
        <w:rPr>
          <w:rFonts w:ascii="Times New Roman" w:hAnsi="Times New Roman" w:cs="Times New Roman"/>
          <w:highlight w:val="none"/>
        </w:rPr>
      </w:pPr>
    </w:p>
    <w:p>
      <w:pPr>
        <w:pStyle w:val="2"/>
        <w:spacing w:line="570" w:lineRule="atLeast"/>
        <w:rPr>
          <w:highlight w:val="none"/>
        </w:rPr>
      </w:pPr>
    </w:p>
    <w:p>
      <w:pPr>
        <w:pStyle w:val="2"/>
        <w:spacing w:line="570" w:lineRule="atLeast"/>
        <w:rPr>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color w:val="auto"/>
          <w:kern w:val="0"/>
          <w:sz w:val="32"/>
          <w:szCs w:val="32"/>
          <w:highlight w:val="none"/>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color w:val="auto"/>
          <w:kern w:val="0"/>
          <w:sz w:val="32"/>
          <w:szCs w:val="32"/>
          <w:highlight w:val="none"/>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color w:val="auto"/>
          <w:kern w:val="0"/>
          <w:sz w:val="32"/>
          <w:szCs w:val="32"/>
          <w:highlight w:val="none"/>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color w:val="auto"/>
          <w:kern w:val="0"/>
          <w:sz w:val="32"/>
          <w:szCs w:val="32"/>
          <w:highlight w:val="none"/>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color w:val="auto"/>
          <w:kern w:val="0"/>
          <w:sz w:val="32"/>
          <w:szCs w:val="32"/>
          <w:highlight w:val="none"/>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color w:val="auto"/>
          <w:kern w:val="0"/>
          <w:sz w:val="32"/>
          <w:szCs w:val="32"/>
          <w:highlight w:val="none"/>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color w:val="auto"/>
          <w:kern w:val="0"/>
          <w:sz w:val="32"/>
          <w:szCs w:val="32"/>
          <w:highlight w:val="none"/>
          <w:lang w:val="en-US" w:eastAsia="zh-CN"/>
        </w:rPr>
      </w:pPr>
      <w:r>
        <w:rPr>
          <w:rFonts w:hint="default" w:ascii="Times New Roman" w:hAnsi="Times New Roman" w:eastAsia="方正小标宋_GBK" w:cs="Times New Roman"/>
          <w:color w:val="auto"/>
          <w:kern w:val="0"/>
          <w:sz w:val="32"/>
          <w:szCs w:val="32"/>
          <w:highlight w:val="none"/>
          <w:lang w:val="en-US" w:eastAsia="zh-CN"/>
        </w:rPr>
        <w:t>报价表</w:t>
      </w:r>
    </w:p>
    <w:p>
      <w:pPr>
        <w:pStyle w:val="2"/>
        <w:rPr>
          <w:rFonts w:hint="default"/>
          <w:highlight w:val="none"/>
          <w:lang w:val="en-US" w:eastAsia="zh-CN"/>
        </w:rPr>
      </w:pPr>
    </w:p>
    <w:tbl>
      <w:tblPr>
        <w:tblStyle w:val="5"/>
        <w:tblW w:w="10020" w:type="dxa"/>
        <w:jc w:val="center"/>
        <w:tblCellSpacing w:w="0" w:type="dxa"/>
        <w:tblInd w:w="0" w:type="dxa"/>
        <w:tblLayout w:type="fixed"/>
        <w:tblCellMar>
          <w:top w:w="0" w:type="dxa"/>
          <w:left w:w="0" w:type="dxa"/>
          <w:bottom w:w="0" w:type="dxa"/>
          <w:right w:w="0" w:type="dxa"/>
        </w:tblCellMar>
      </w:tblPr>
      <w:tblGrid>
        <w:gridCol w:w="840"/>
        <w:gridCol w:w="4583"/>
        <w:gridCol w:w="4597"/>
      </w:tblGrid>
      <w:tr>
        <w:tblPrEx>
          <w:tblLayout w:type="fixed"/>
          <w:tblCellMar>
            <w:top w:w="0" w:type="dxa"/>
            <w:left w:w="0" w:type="dxa"/>
            <w:bottom w:w="0" w:type="dxa"/>
            <w:right w:w="0" w:type="dxa"/>
          </w:tblCellMar>
        </w:tblPrEx>
        <w:trPr>
          <w:trHeight w:val="800" w:hRule="atLeast"/>
          <w:tblCellSpacing w:w="0" w:type="dxa"/>
          <w:jc w:val="center"/>
        </w:trPr>
        <w:tc>
          <w:tcPr>
            <w:tcW w:w="840" w:type="dxa"/>
            <w:tcBorders>
              <w:top w:val="single" w:color="auto" w:sz="4" w:space="0"/>
              <w:left w:val="single" w:color="auto" w:sz="0" w:space="0"/>
              <w:bottom w:val="single" w:color="auto" w:sz="4" w:space="0"/>
              <w:right w:val="single" w:color="auto" w:sz="4" w:space="0"/>
            </w:tcBorders>
            <w:tcMar>
              <w:top w:w="0" w:type="dxa"/>
              <w:left w:w="105" w:type="dxa"/>
              <w:bottom w:w="0" w:type="dxa"/>
              <w:right w:w="105" w:type="dxa"/>
            </w:tcMar>
            <w:vAlign w:val="center"/>
          </w:tcPr>
          <w:p>
            <w:pPr>
              <w:keepNext w:val="0"/>
              <w:keepLines w:val="0"/>
              <w:pageBreakBefore w:val="0"/>
              <w:widowControl w:val="0"/>
              <w:tabs>
                <w:tab w:val="left" w:pos="6300"/>
              </w:tabs>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序号</w:t>
            </w:r>
          </w:p>
        </w:tc>
        <w:tc>
          <w:tcPr>
            <w:tcW w:w="45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keepNext w:val="0"/>
              <w:keepLines w:val="0"/>
              <w:pageBreakBefore w:val="0"/>
              <w:widowControl w:val="0"/>
              <w:tabs>
                <w:tab w:val="left" w:pos="6300"/>
              </w:tabs>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项目名称</w:t>
            </w:r>
          </w:p>
        </w:tc>
        <w:tc>
          <w:tcPr>
            <w:tcW w:w="459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keepNext w:val="0"/>
              <w:keepLines w:val="0"/>
              <w:pageBreakBefore w:val="0"/>
              <w:widowControl w:val="0"/>
              <w:tabs>
                <w:tab w:val="left" w:pos="6300"/>
              </w:tabs>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报价（元）</w:t>
            </w:r>
          </w:p>
        </w:tc>
      </w:tr>
      <w:tr>
        <w:tblPrEx>
          <w:tblLayout w:type="fixed"/>
          <w:tblCellMar>
            <w:top w:w="0" w:type="dxa"/>
            <w:left w:w="0" w:type="dxa"/>
            <w:bottom w:w="0" w:type="dxa"/>
            <w:right w:w="0" w:type="dxa"/>
          </w:tblCellMar>
        </w:tblPrEx>
        <w:trPr>
          <w:trHeight w:val="620" w:hRule="atLeast"/>
          <w:tblCellSpacing w:w="0" w:type="dxa"/>
          <w:jc w:val="center"/>
        </w:trPr>
        <w:tc>
          <w:tcPr>
            <w:tcW w:w="84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keepNext w:val="0"/>
              <w:keepLines w:val="0"/>
              <w:pageBreakBefore w:val="0"/>
              <w:widowControl w:val="0"/>
              <w:tabs>
                <w:tab w:val="left" w:pos="6300"/>
              </w:tabs>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w:t>
            </w:r>
          </w:p>
        </w:tc>
        <w:tc>
          <w:tcPr>
            <w:tcW w:w="45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keepNext w:val="0"/>
              <w:keepLines w:val="0"/>
              <w:pageBreakBefore w:val="0"/>
              <w:widowControl w:val="0"/>
              <w:tabs>
                <w:tab w:val="left" w:pos="6300"/>
              </w:tabs>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4"/>
                <w:szCs w:val="24"/>
                <w:highlight w:val="none"/>
                <w:lang w:val="en-US"/>
              </w:rPr>
            </w:pPr>
            <w:r>
              <w:rPr>
                <w:rFonts w:hint="default" w:ascii="Times New Roman" w:hAnsi="Times New Roman" w:eastAsia="方正仿宋_GBK" w:cs="Times New Roman"/>
                <w:color w:val="auto"/>
                <w:kern w:val="0"/>
                <w:sz w:val="28"/>
                <w:szCs w:val="28"/>
                <w:highlight w:val="none"/>
                <w:shd w:val="clear" w:fill="FFFFFF"/>
                <w:lang w:val="en-US" w:eastAsia="zh-CN" w:bidi="ar"/>
              </w:rPr>
              <w:t>网络安全设备升级服务</w:t>
            </w:r>
            <w:r>
              <w:rPr>
                <w:rFonts w:hint="eastAsia" w:ascii="Times New Roman" w:hAnsi="Times New Roman" w:eastAsia="方正仿宋_GBK" w:cs="Times New Roman"/>
                <w:color w:val="auto"/>
                <w:kern w:val="0"/>
                <w:sz w:val="28"/>
                <w:szCs w:val="28"/>
                <w:highlight w:val="none"/>
                <w:shd w:val="clear" w:fill="FFFFFF"/>
                <w:lang w:val="en-US" w:eastAsia="zh-CN" w:bidi="ar"/>
              </w:rPr>
              <w:t>采购项目</w:t>
            </w:r>
          </w:p>
        </w:tc>
        <w:tc>
          <w:tcPr>
            <w:tcW w:w="459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keepNext w:val="0"/>
              <w:keepLines w:val="0"/>
              <w:pageBreakBefore w:val="0"/>
              <w:widowControl w:val="0"/>
              <w:tabs>
                <w:tab w:val="left" w:pos="6300"/>
              </w:tabs>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4"/>
                <w:szCs w:val="24"/>
                <w:highlight w:val="none"/>
              </w:rPr>
            </w:pPr>
          </w:p>
        </w:tc>
      </w:tr>
      <w:tr>
        <w:tblPrEx>
          <w:tblLayout w:type="fixed"/>
          <w:tblCellMar>
            <w:top w:w="0" w:type="dxa"/>
            <w:left w:w="0" w:type="dxa"/>
            <w:bottom w:w="0" w:type="dxa"/>
            <w:right w:w="0" w:type="dxa"/>
          </w:tblCellMar>
        </w:tblPrEx>
        <w:trPr>
          <w:trHeight w:val="620" w:hRule="atLeast"/>
          <w:tblCellSpacing w:w="0" w:type="dxa"/>
          <w:jc w:val="center"/>
        </w:trPr>
        <w:tc>
          <w:tcPr>
            <w:tcW w:w="10020" w:type="dxa"/>
            <w:gridSpan w:val="3"/>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keepNext w:val="0"/>
              <w:keepLines w:val="0"/>
              <w:pageBreakBefore w:val="0"/>
              <w:widowControl w:val="0"/>
              <w:tabs>
                <w:tab w:val="left" w:pos="6300"/>
              </w:tabs>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合计金额（大写）：</w:t>
            </w:r>
          </w:p>
        </w:tc>
      </w:tr>
    </w:tbl>
    <w:p>
      <w:pPr>
        <w:keepNext w:val="0"/>
        <w:keepLines w:val="0"/>
        <w:pageBreakBefore w:val="0"/>
        <w:tabs>
          <w:tab w:val="left" w:pos="2142"/>
        </w:tabs>
        <w:kinsoku/>
        <w:overflowPunct/>
        <w:topLinePunct w:val="0"/>
        <w:autoSpaceDE/>
        <w:autoSpaceDN/>
        <w:bidi w:val="0"/>
        <w:adjustRightInd/>
        <w:snapToGrid/>
        <w:spacing w:line="570" w:lineRule="exact"/>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注：</w:t>
      </w:r>
    </w:p>
    <w:p>
      <w:pPr>
        <w:keepNext w:val="0"/>
        <w:keepLines w:val="0"/>
        <w:pageBreakBefore w:val="0"/>
        <w:tabs>
          <w:tab w:val="left" w:pos="2142"/>
        </w:tabs>
        <w:kinsoku/>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1.报价应是最终用户验收合格后的总价，包括设备运输、保险、代理、安装调试、培训、税费、系统集成费用和采购文件规定的其它费用。</w:t>
      </w:r>
    </w:p>
    <w:p>
      <w:pPr>
        <w:keepNext w:val="0"/>
        <w:keepLines w:val="0"/>
        <w:pageBreakBefore w:val="0"/>
        <w:tabs>
          <w:tab w:val="left" w:pos="2142"/>
        </w:tabs>
        <w:kinsoku/>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.“品目及报价表”为多页的，每页均需由法定代表人或授权代表签字并盖投标人印章。</w:t>
      </w:r>
    </w:p>
    <w:p>
      <w:pPr>
        <w:keepNext w:val="0"/>
        <w:keepLines w:val="0"/>
        <w:pageBreakBefore w:val="0"/>
        <w:tabs>
          <w:tab w:val="left" w:pos="2142"/>
        </w:tabs>
        <w:kinsoku/>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如有多种规格，请按每种规格分别报价。</w:t>
      </w:r>
    </w:p>
    <w:p>
      <w:pPr>
        <w:keepNext w:val="0"/>
        <w:keepLines w:val="0"/>
        <w:pageBreakBefore w:val="0"/>
        <w:tabs>
          <w:tab w:val="left" w:pos="2142"/>
        </w:tabs>
        <w:kinsoku/>
        <w:overflowPunct/>
        <w:topLinePunct w:val="0"/>
        <w:autoSpaceDE/>
        <w:autoSpaceDN/>
        <w:bidi w:val="0"/>
        <w:adjustRightInd/>
        <w:snapToGrid/>
        <w:spacing w:line="57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供应商名称：（盖章）</w:t>
      </w:r>
    </w:p>
    <w:p>
      <w:pPr>
        <w:keepNext w:val="0"/>
        <w:keepLines w:val="0"/>
        <w:pageBreakBefore w:val="0"/>
        <w:tabs>
          <w:tab w:val="left" w:pos="2142"/>
        </w:tabs>
        <w:kinsoku/>
        <w:overflowPunct/>
        <w:topLinePunct w:val="0"/>
        <w:autoSpaceDE/>
        <w:autoSpaceDN/>
        <w:bidi w:val="0"/>
        <w:adjustRightInd/>
        <w:snapToGrid/>
        <w:spacing w:line="57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法定代表人或授权代表（签字）：</w:t>
      </w:r>
    </w:p>
    <w:p>
      <w:pPr>
        <w:keepNext w:val="0"/>
        <w:keepLines w:val="0"/>
        <w:pageBreakBefore w:val="0"/>
        <w:tabs>
          <w:tab w:val="left" w:pos="2142"/>
        </w:tabs>
        <w:kinsoku/>
        <w:overflowPunct/>
        <w:topLinePunct w:val="0"/>
        <w:autoSpaceDE/>
        <w:autoSpaceDN/>
        <w:bidi w:val="0"/>
        <w:adjustRightInd/>
        <w:snapToGrid/>
        <w:spacing w:line="57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日期：</w:t>
      </w:r>
    </w:p>
    <w:p>
      <w:pPr>
        <w:spacing w:line="570" w:lineRule="atLeast"/>
        <w:jc w:val="center"/>
        <w:rPr>
          <w:rFonts w:ascii="Times New Roman" w:hAnsi="Times New Roman" w:eastAsia="方正小标宋_GBK" w:cs="Times New Roman"/>
          <w:b/>
          <w:bCs/>
          <w:sz w:val="28"/>
          <w:szCs w:val="28"/>
          <w:highlight w:val="none"/>
        </w:rPr>
      </w:pPr>
    </w:p>
    <w:p>
      <w:pPr>
        <w:pStyle w:val="2"/>
        <w:rPr>
          <w:rFonts w:ascii="Times New Roman" w:hAnsi="Times New Roman" w:eastAsia="方正小标宋_GBK" w:cs="Times New Roman"/>
          <w:b/>
          <w:bCs/>
          <w:sz w:val="28"/>
          <w:szCs w:val="28"/>
          <w:highlight w:val="none"/>
        </w:rPr>
      </w:pPr>
    </w:p>
    <w:p>
      <w:pPr>
        <w:rPr>
          <w:rFonts w:ascii="Times New Roman" w:hAnsi="Times New Roman" w:eastAsia="方正小标宋_GBK" w:cs="Times New Roman"/>
          <w:b/>
          <w:bCs/>
          <w:sz w:val="28"/>
          <w:szCs w:val="28"/>
          <w:highlight w:val="none"/>
        </w:rPr>
      </w:pPr>
    </w:p>
    <w:p>
      <w:pPr>
        <w:pStyle w:val="2"/>
        <w:rPr>
          <w:rFonts w:ascii="Times New Roman" w:hAnsi="Times New Roman" w:eastAsia="方正小标宋_GBK" w:cs="Times New Roman"/>
          <w:b/>
          <w:bCs/>
          <w:sz w:val="28"/>
          <w:szCs w:val="28"/>
          <w:highlight w:val="none"/>
        </w:rPr>
      </w:pPr>
    </w:p>
    <w:p>
      <w:pPr>
        <w:rPr>
          <w:highlight w:val="none"/>
        </w:rPr>
      </w:pPr>
    </w:p>
    <w:p>
      <w:pPr>
        <w:pStyle w:val="2"/>
        <w:spacing w:line="570" w:lineRule="atLeast"/>
        <w:rPr>
          <w:rFonts w:eastAsia="方正小标宋_GBK"/>
          <w:b/>
          <w:bCs/>
          <w:sz w:val="28"/>
          <w:szCs w:val="28"/>
          <w:highlight w:val="none"/>
        </w:rPr>
      </w:pPr>
    </w:p>
    <w:p>
      <w:pPr>
        <w:tabs>
          <w:tab w:val="left" w:pos="6300"/>
        </w:tabs>
        <w:spacing w:line="570" w:lineRule="atLeast"/>
        <w:jc w:val="center"/>
        <w:rPr>
          <w:rFonts w:ascii="Times New Roman" w:hAnsi="Times New Roman" w:eastAsia="方正仿宋_GBK" w:cs="Times New Roman"/>
          <w:sz w:val="28"/>
          <w:szCs w:val="28"/>
          <w:highlight w:val="none"/>
        </w:rPr>
      </w:pPr>
    </w:p>
    <w:p>
      <w:pPr>
        <w:tabs>
          <w:tab w:val="left" w:pos="6300"/>
        </w:tabs>
        <w:spacing w:line="570" w:lineRule="atLeast"/>
        <w:jc w:val="center"/>
        <w:rPr>
          <w:rFonts w:ascii="Times New Roman" w:hAnsi="Times New Roman" w:eastAsia="方正仿宋_GBK" w:cs="Times New Roman"/>
          <w:sz w:val="28"/>
          <w:szCs w:val="28"/>
          <w:highlight w:val="none"/>
        </w:rPr>
      </w:pPr>
    </w:p>
    <w:p>
      <w:pPr>
        <w:tabs>
          <w:tab w:val="left" w:pos="6300"/>
        </w:tabs>
        <w:spacing w:line="570" w:lineRule="atLeast"/>
        <w:jc w:val="center"/>
        <w:rPr>
          <w:rFonts w:ascii="Times New Roman" w:hAnsi="Times New Roman" w:eastAsia="方正仿宋_GBK" w:cs="Times New Roman"/>
          <w:sz w:val="28"/>
          <w:szCs w:val="28"/>
          <w:highlight w:val="none"/>
        </w:rPr>
      </w:pPr>
    </w:p>
    <w:p>
      <w:pPr>
        <w:tabs>
          <w:tab w:val="left" w:pos="6300"/>
        </w:tabs>
        <w:spacing w:line="570" w:lineRule="atLeas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响应表</w:t>
      </w:r>
    </w:p>
    <w:p>
      <w:pPr>
        <w:tabs>
          <w:tab w:val="left" w:pos="6300"/>
        </w:tabs>
        <w:spacing w:line="570" w:lineRule="atLeas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415"/>
        <w:gridCol w:w="310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序号</w:t>
            </w: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文件要求</w:t>
            </w: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响应文件响应</w:t>
            </w: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r>
    </w:tbl>
    <w:p>
      <w:pPr>
        <w:tabs>
          <w:tab w:val="left" w:pos="6300"/>
        </w:tabs>
        <w:spacing w:line="570" w:lineRule="atLeast"/>
        <w:ind w:firstLine="573"/>
        <w:rPr>
          <w:rFonts w:ascii="Times New Roman" w:hAnsi="Times New Roman" w:eastAsia="方正仿宋_GBK" w:cs="Times New Roman"/>
          <w:sz w:val="24"/>
          <w:highlight w:val="none"/>
        </w:rPr>
      </w:pP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注意：竞标人必须据实填写，不得虚假响应，虚假响应的，其响应文件无效并按规定追究其相关责任。</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color w:val="333333"/>
          <w:kern w:val="0"/>
          <w:sz w:val="24"/>
          <w:highlight w:val="none"/>
        </w:rPr>
        <w:t>投标人</w:t>
      </w:r>
      <w:r>
        <w:rPr>
          <w:rFonts w:ascii="Times New Roman" w:hAnsi="Times New Roman" w:eastAsia="方正仿宋_GBK" w:cs="Times New Roman"/>
          <w:sz w:val="24"/>
          <w:highlight w:val="none"/>
        </w:rPr>
        <w:t>名称（加盖公章）：XXX</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法定代表人或单位负责人或授权代表（签字或盖章）：XXX</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 期：XXX年XXX月XXX日</w:t>
      </w:r>
    </w:p>
    <w:p>
      <w:pPr>
        <w:spacing w:line="570" w:lineRule="atLeast"/>
        <w:jc w:val="center"/>
        <w:rPr>
          <w:rFonts w:ascii="Times New Roman" w:hAnsi="Times New Roman" w:eastAsia="方正仿宋_GBK" w:cs="Times New Roman"/>
          <w:b/>
          <w:bCs/>
          <w:sz w:val="32"/>
          <w:szCs w:val="32"/>
          <w:highlight w:val="none"/>
        </w:rPr>
      </w:pPr>
    </w:p>
    <w:p>
      <w:pPr>
        <w:pStyle w:val="2"/>
        <w:spacing w:line="570" w:lineRule="atLeast"/>
        <w:rPr>
          <w:rFonts w:eastAsia="方正仿宋_GBK"/>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pStyle w:val="2"/>
        <w:spacing w:line="570" w:lineRule="atLeast"/>
        <w:rPr>
          <w:rFonts w:eastAsia="方正仿宋_GBK"/>
          <w:b/>
          <w:bCs/>
          <w:sz w:val="32"/>
          <w:szCs w:val="32"/>
          <w:highlight w:val="none"/>
        </w:rPr>
      </w:pPr>
    </w:p>
    <w:p>
      <w:pPr>
        <w:rPr>
          <w:rFonts w:eastAsia="方正仿宋_GBK"/>
          <w:b/>
          <w:bCs/>
          <w:sz w:val="32"/>
          <w:szCs w:val="32"/>
          <w:highlight w:val="none"/>
        </w:rPr>
      </w:pPr>
    </w:p>
    <w:p>
      <w:pPr>
        <w:rPr>
          <w:rFonts w:eastAsia="方正仿宋_GBK"/>
          <w:b/>
          <w:bCs/>
          <w:sz w:val="32"/>
          <w:szCs w:val="32"/>
          <w:highlight w:val="none"/>
        </w:rPr>
      </w:pPr>
    </w:p>
    <w:p>
      <w:pPr>
        <w:rPr>
          <w:rFonts w:eastAsia="方正仿宋_GBK"/>
          <w:b/>
          <w:bCs/>
          <w:sz w:val="32"/>
          <w:szCs w:val="32"/>
          <w:highlight w:val="none"/>
        </w:rPr>
      </w:pPr>
    </w:p>
    <w:p>
      <w:pPr>
        <w:rPr>
          <w:rFonts w:eastAsia="方正仿宋_GBK"/>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pStyle w:val="2"/>
        <w:spacing w:line="570" w:lineRule="atLeast"/>
        <w:rPr>
          <w:rFonts w:eastAsia="方正仿宋_GBK"/>
          <w:b/>
          <w:bCs/>
          <w:sz w:val="32"/>
          <w:szCs w:val="32"/>
          <w:highlight w:val="none"/>
        </w:rPr>
      </w:pPr>
    </w:p>
    <w:p>
      <w:pPr>
        <w:spacing w:line="570" w:lineRule="atLeast"/>
        <w:jc w:val="center"/>
        <w:rPr>
          <w:rFonts w:ascii="Times New Roman" w:hAnsi="Times New Roman" w:eastAsia="方正仿宋_GBK" w:cs="Times New Roman"/>
          <w:b/>
          <w:bCs/>
          <w:sz w:val="32"/>
          <w:szCs w:val="32"/>
          <w:highlight w:val="none"/>
        </w:rPr>
      </w:pPr>
      <w:r>
        <w:rPr>
          <w:rFonts w:ascii="Times New Roman" w:hAnsi="Times New Roman" w:eastAsia="方正仿宋_GBK" w:cs="Times New Roman"/>
          <w:b/>
          <w:bCs/>
          <w:sz w:val="32"/>
          <w:szCs w:val="32"/>
          <w:highlight w:val="none"/>
        </w:rPr>
        <w:t>质量保证书</w:t>
      </w:r>
    </w:p>
    <w:p>
      <w:pPr>
        <w:spacing w:line="570" w:lineRule="atLeast"/>
        <w:ind w:firstLine="360" w:firstLineChars="150"/>
        <w:rPr>
          <w:rFonts w:ascii="Times New Roman" w:hAnsi="Times New Roman" w:eastAsia="方正仿宋_GBK" w:cs="Times New Roman"/>
          <w:sz w:val="24"/>
          <w:highlight w:val="none"/>
          <w:u w:val="single"/>
        </w:rPr>
      </w:pPr>
      <w:r>
        <w:rPr>
          <w:rFonts w:ascii="Times New Roman" w:hAnsi="Times New Roman" w:eastAsia="方正仿宋_GBK" w:cs="Times New Roman"/>
          <w:sz w:val="24"/>
          <w:highlight w:val="none"/>
          <w:u w:val="single"/>
        </w:rPr>
        <w:t xml:space="preserve">           ：</w:t>
      </w:r>
    </w:p>
    <w:p>
      <w:pPr>
        <w:spacing w:line="570" w:lineRule="atLeast"/>
        <w:ind w:firstLine="630"/>
        <w:jc w:val="lef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rPr>
        <w:t>（</w:t>
      </w:r>
      <w:r>
        <w:rPr>
          <w:rFonts w:ascii="Times New Roman" w:hAnsi="Times New Roman" w:eastAsia="方正仿宋_GBK" w:cs="Times New Roman"/>
          <w:b/>
          <w:bCs/>
          <w:sz w:val="24"/>
          <w:highlight w:val="none"/>
        </w:rPr>
        <w:t>制造商家名称</w:t>
      </w:r>
      <w:r>
        <w:rPr>
          <w:rFonts w:ascii="Times New Roman" w:hAnsi="Times New Roman" w:eastAsia="方正仿宋_GBK" w:cs="Times New Roman"/>
          <w:sz w:val="24"/>
          <w:highlight w:val="none"/>
        </w:rPr>
        <w:t>）是在</w:t>
      </w:r>
      <w:r>
        <w:rPr>
          <w:rFonts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rPr>
        <w:t>（国名）依法登记注册的，其地址现在</w:t>
      </w:r>
      <w:r>
        <w:rPr>
          <w:rFonts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rPr>
        <w:t>。其主要营业地点现在</w:t>
      </w:r>
      <w:r>
        <w:rPr>
          <w:rFonts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rPr>
        <w:t>。</w:t>
      </w:r>
    </w:p>
    <w:p>
      <w:pPr>
        <w:pStyle w:val="3"/>
        <w:spacing w:after="0" w:line="570" w:lineRule="atLeast"/>
        <w:ind w:left="0" w:leftChars="0" w:firstLine="600" w:firstLineChars="25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作为供应商，我方承诺，为本次招标提供的货物为原厂制造、合法渠道供应的全新产品。我方保证以投标合作者来约束自己，并对该投标共同承担和分别承担招标文件中所规定的义务。</w:t>
      </w:r>
    </w:p>
    <w:p>
      <w:pPr>
        <w:spacing w:line="570" w:lineRule="atLeast"/>
        <w:ind w:firstLine="630"/>
        <w:rPr>
          <w:rFonts w:ascii="Times New Roman" w:hAnsi="Times New Roman" w:eastAsia="方正仿宋_GBK" w:cs="Times New Roman"/>
          <w:sz w:val="24"/>
          <w:highlight w:val="none"/>
        </w:rPr>
      </w:pP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供应商单位名称：       （盖章） </w:t>
      </w: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供应商单位法定代表人或授权代表（签字）：        </w:t>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日期：</w:t>
      </w: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附：授权销售产品清单</w:t>
      </w:r>
    </w:p>
    <w:p>
      <w:pPr>
        <w:spacing w:line="570" w:lineRule="atLeast"/>
        <w:rPr>
          <w:rFonts w:ascii="Times New Roman" w:hAnsi="Times New Roman" w:eastAsia="方正仿宋_GBK" w:cs="Times New Roman"/>
          <w:sz w:val="22"/>
          <w:szCs w:val="22"/>
          <w:highlight w:val="none"/>
        </w:rPr>
      </w:pPr>
      <w:bookmarkStart w:id="0" w:name="_Toc237343703"/>
      <w:bookmarkStart w:id="1" w:name="_Toc174767233"/>
      <w:bookmarkStart w:id="2" w:name="_Toc95295163"/>
    </w:p>
    <w:p>
      <w:pPr>
        <w:spacing w:line="570" w:lineRule="atLeast"/>
        <w:rPr>
          <w:rFonts w:ascii="Times New Roman" w:hAnsi="Times New Roman" w:eastAsia="方正仿宋_GBK" w:cs="Times New Roman"/>
          <w:sz w:val="22"/>
          <w:szCs w:val="22"/>
          <w:highlight w:val="none"/>
        </w:rPr>
      </w:pPr>
    </w:p>
    <w:p>
      <w:pPr>
        <w:spacing w:line="570" w:lineRule="atLeast"/>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jc w:val="center"/>
        <w:rPr>
          <w:rFonts w:ascii="Times New Roman" w:hAnsi="Times New Roman" w:eastAsia="方正仿宋_GBK" w:cs="Times New Roman"/>
          <w:b/>
          <w:bCs/>
          <w:sz w:val="32"/>
          <w:szCs w:val="32"/>
          <w:highlight w:val="none"/>
        </w:rPr>
      </w:pPr>
      <w:r>
        <w:rPr>
          <w:rFonts w:ascii="Times New Roman" w:hAnsi="Times New Roman" w:eastAsia="方正仿宋_GBK" w:cs="Times New Roman"/>
          <w:b/>
          <w:bCs/>
          <w:sz w:val="32"/>
          <w:szCs w:val="32"/>
          <w:highlight w:val="none"/>
        </w:rPr>
        <w:t>法定代表人身份授权书</w:t>
      </w:r>
    </w:p>
    <w:p>
      <w:pPr>
        <w:spacing w:line="570" w:lineRule="atLeast"/>
        <w:rPr>
          <w:rFonts w:ascii="Times New Roman" w:hAnsi="Times New Roman" w:eastAsia="方正仿宋_GBK" w:cs="Times New Roman"/>
          <w:b/>
          <w:bCs/>
          <w:sz w:val="28"/>
          <w:szCs w:val="28"/>
          <w:highlight w:val="none"/>
        </w:rPr>
      </w:pPr>
    </w:p>
    <w:p>
      <w:pPr>
        <w:tabs>
          <w:tab w:val="left" w:pos="6300"/>
        </w:tabs>
        <w:spacing w:line="570" w:lineRule="atLeast"/>
        <w:rPr>
          <w:rFonts w:ascii="Times New Roman" w:hAnsi="Times New Roman" w:eastAsia="方正仿宋_GBK" w:cs="Times New Roman"/>
          <w:color w:val="000000"/>
          <w:sz w:val="24"/>
          <w:highlight w:val="none"/>
          <w:lang w:val="zh-CN"/>
        </w:rPr>
      </w:pP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（采购单位名称）：</w:t>
      </w:r>
    </w:p>
    <w:p>
      <w:pPr>
        <w:tabs>
          <w:tab w:val="left" w:pos="720"/>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color w:val="000000"/>
          <w:sz w:val="24"/>
          <w:highlight w:val="none"/>
          <w:lang w:val="zh-CN"/>
        </w:rPr>
        <w:t xml:space="preserve">   本授权声明：</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（投标人名称）</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（法定代表人姓名、职务）授权</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（被授权人姓名、职务）为我方</w:t>
      </w:r>
      <w:r>
        <w:rPr>
          <w:rFonts w:ascii="Times New Roman" w:hAnsi="Times New Roman" w:eastAsia="方正仿宋_GBK" w:cs="Times New Roman"/>
          <w:color w:val="000000"/>
          <w:sz w:val="24"/>
          <w:highlight w:val="none"/>
          <w:u w:val="single"/>
          <w:lang w:val="zh-CN"/>
        </w:rPr>
        <w:t xml:space="preserve"> “                                          ”</w:t>
      </w:r>
      <w:r>
        <w:rPr>
          <w:rFonts w:ascii="Times New Roman" w:hAnsi="Times New Roman" w:eastAsia="方正仿宋_GBK" w:cs="Times New Roman"/>
          <w:color w:val="000000"/>
          <w:sz w:val="24"/>
          <w:highlight w:val="none"/>
          <w:lang w:val="zh-CN"/>
        </w:rPr>
        <w:t>项目投标活动的合法代表，以我方名义全权处理该项目有关投标、签订合同以及执行合同等一切事宜。</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特此声明。</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法定代表人签字：</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授权代表签字：</w:t>
      </w:r>
    </w:p>
    <w:p>
      <w:pPr>
        <w:spacing w:line="570" w:lineRule="atLeast"/>
        <w:ind w:firstLine="48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投标人名称：</w:t>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 xml:space="preserve">      （加盖公章）</w:t>
      </w:r>
    </w:p>
    <w:p>
      <w:pPr>
        <w:spacing w:line="570" w:lineRule="atLeast"/>
        <w:ind w:firstLine="48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日期：</w:t>
      </w:r>
    </w:p>
    <w:p>
      <w:pPr>
        <w:tabs>
          <w:tab w:val="left" w:pos="6300"/>
        </w:tabs>
        <w:spacing w:line="570" w:lineRule="atLeas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    ★说明：上述证明文件附有法定代表人、被授权代表身份证复印件（加盖公章）时才能生效。</w:t>
      </w:r>
      <w:bookmarkEnd w:id="0"/>
      <w:bookmarkEnd w:id="1"/>
      <w:bookmarkEnd w:id="2"/>
    </w:p>
    <w:p>
      <w:pPr>
        <w:spacing w:line="570" w:lineRule="atLeast"/>
        <w:rPr>
          <w:rFonts w:ascii="Times New Roman" w:hAnsi="Times New Roman" w:eastAsia="方正仿宋_GBK" w:cs="Times New Roman"/>
          <w:highlight w:val="none"/>
        </w:rPr>
      </w:pPr>
    </w:p>
    <w:p>
      <w:pPr>
        <w:spacing w:after="120" w:line="570" w:lineRule="atLeast"/>
        <w:jc w:val="both"/>
        <w:rPr>
          <w:rFonts w:ascii="Times New Roman" w:hAnsi="Times New Roman" w:eastAsia="方正小标宋_GBK" w:cs="Times New Roman"/>
          <w:color w:val="000000"/>
          <w:sz w:val="28"/>
          <w:szCs w:val="22"/>
          <w:highlight w:val="none"/>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both"/>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r>
        <w:rPr>
          <w:rFonts w:hint="default" w:ascii="Times New Roman" w:hAnsi="Times New Roman" w:eastAsia="方正小标宋_GBK" w:cs="Times New Roman"/>
          <w:color w:val="000000"/>
          <w:kern w:val="2"/>
          <w:sz w:val="28"/>
          <w:szCs w:val="22"/>
          <w:highlight w:val="none"/>
          <w:lang w:val="en-US" w:eastAsia="zh-CN" w:bidi="ar-SA"/>
        </w:rPr>
        <w:t>无围标、串标行为承诺书</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本公司郑重承诺：我公司自觉遵守《中华人民共和国政府采购法》和《中华人民共和国政府采购法实施条例》的有关规定，我公司在参加本次采购活动中，无以下围标、串标行为：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1.不同供应商的投标文件由同一单位或者个人编制；</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2.不同供应商委托同一单位或者个人办理投标事宜；</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3.不同供应商的投标文件载明的项目管理成员或者联系人员为同一人；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4.不同供应商的投标文件异常一致或者投标报价呈规律性差异；</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5.不同供应商的投标文件相互混装；</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6.不同供应商的投标保证金从同一单位或者个人的账户转出；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7.不同供应商的董事、监事、高管、单位负责人为同一人或者存在控股、管理关系的不同单位参加同一采购项目；</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8.供应商之间事先约定由某一特定供应商中标、成交；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9.供应商之间商定部分供应商放弃参加采购活动或者放弃中标、成交；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10.法律法规界定的其他围标串标行为。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投标人法人代表或委托代理人（承诺人） ：</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 xml:space="preserve">投标人：（公章）  </w:t>
      </w:r>
    </w:p>
    <w:p>
      <w:pPr>
        <w:widowControl/>
        <w:shd w:val="clear" w:color="auto" w:fill="FFFFFF"/>
        <w:wordWrap w:val="0"/>
        <w:spacing w:after="0" w:line="570" w:lineRule="atLeast"/>
        <w:ind w:firstLine="480" w:firstLineChars="200"/>
        <w:jc w:val="left"/>
      </w:pPr>
      <w:r>
        <w:rPr>
          <w:rFonts w:hint="default" w:ascii="Times New Roman" w:hAnsi="Times New Roman" w:eastAsia="方正仿宋_GBK" w:cs="Times New Roman"/>
          <w:color w:val="333333"/>
          <w:kern w:val="0"/>
          <w:sz w:val="24"/>
          <w:szCs w:val="24"/>
          <w:highlight w:val="none"/>
        </w:rPr>
        <w:t>日期：   年    月    日</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58537D"/>
    <w:multiLevelType w:val="singleLevel"/>
    <w:tmpl w:val="EB58537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184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宋体" w:cs="Times New Roman"/>
      <w:szCs w:val="22"/>
    </w:rPr>
  </w:style>
  <w:style w:type="paragraph" w:styleId="3">
    <w:name w:val="Body Text Indent"/>
    <w:basedOn w:val="1"/>
    <w:qFormat/>
    <w:uiPriority w:val="99"/>
    <w:pPr>
      <w:spacing w:after="120"/>
      <w:ind w:left="420" w:leftChars="200"/>
    </w:pPr>
  </w:style>
  <w:style w:type="paragraph" w:styleId="4">
    <w:name w:val="Normal (Web)"/>
    <w:basedOn w:val="1"/>
    <w:qFormat/>
    <w:uiPriority w:val="0"/>
    <w:pPr>
      <w:spacing w:beforeAutospacing="1" w:after="0" w:afterAutospacing="1"/>
      <w:jc w:val="left"/>
    </w:pPr>
    <w:rPr>
      <w:rFonts w:cs="Times New Roman"/>
      <w:kern w:val="0"/>
      <w:sz w:val="24"/>
    </w:rPr>
  </w:style>
  <w:style w:type="table" w:styleId="6">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2025-09-05T06:35:58Z</dcterms:created>
  <dc:creator>OS</dc:creator>
  <cp:lastModifiedBy>們泊冬吴@^_^</cp:lastModifiedBy>
  <dcterms:modified xsi:type="dcterms:W3CDTF">2025-09-05T06:38:25Z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