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atLeast"/>
        <w:jc w:val="both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pStyle w:val="2"/>
        <w:spacing w:line="570" w:lineRule="atLeast"/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一.项目名称：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采购并安装急诊楼外立面楼体字项目。</w:t>
      </w: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二.最高限价：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4万元。</w:t>
      </w:r>
    </w:p>
    <w:p>
      <w:pPr>
        <w:pStyle w:val="2"/>
        <w:spacing w:line="570" w:lineRule="atLeast"/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三.相关要求：</w:t>
      </w:r>
    </w:p>
    <w:p>
      <w:pPr>
        <w:ind w:firstLine="482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需求数量</w:t>
      </w:r>
    </w:p>
    <w:p>
      <w:pPr>
        <w:pStyle w:val="6"/>
        <w:shd w:val="clear" w:color="auto" w:fill="FFFFFF"/>
        <w:spacing w:before="0" w:beforeAutospacing="0" w:after="0" w:afterAutospacing="0" w:line="400" w:lineRule="exact"/>
        <w:ind w:firstLine="566" w:firstLineChars="177"/>
        <w:rPr>
          <w:rFonts w:hint="default" w:ascii="Times New Roman" w:hAnsi="Times New Roman" w:eastAsia="方正仿宋_GBK" w:cs="Times New Roman"/>
          <w:kern w:val="2"/>
          <w:sz w:val="28"/>
          <w:szCs w:val="28"/>
          <w:lang w:bidi="ar-SA"/>
          <w14:ligatures w14:val="standardContextual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bidi="ar-SA"/>
          <w14:ligatures w14:val="standardContextual"/>
        </w:rPr>
        <w:t xml:space="preserve">1. 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bidi="ar-SA"/>
          <w14:ligatures w14:val="standardContextual"/>
        </w:rPr>
        <w:t>楼顶发光平面灯箱字2套</w:t>
      </w:r>
    </w:p>
    <w:p>
      <w:pPr>
        <w:pStyle w:val="6"/>
        <w:shd w:val="clear" w:color="auto" w:fill="FFFFFF"/>
        <w:spacing w:line="400" w:lineRule="exact"/>
        <w:ind w:firstLine="495" w:firstLineChars="177"/>
        <w:rPr>
          <w:rFonts w:hint="default" w:ascii="Times New Roman" w:hAnsi="Times New Roman" w:eastAsia="方正仿宋_GBK" w:cs="Times New Roman"/>
          <w:sz w:val="28"/>
          <w:szCs w:val="28"/>
          <w14:ligatures w14:val="standardContextual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14:ligatures w14:val="standardContextual"/>
        </w:rPr>
        <w:t>2．墙面金属立体字1套</w:t>
      </w:r>
    </w:p>
    <w:p>
      <w:pPr>
        <w:ind w:firstLine="512" w:firstLineChars="183"/>
        <w:rPr>
          <w:rFonts w:hint="default" w:ascii="Times New Roman" w:hAnsi="Times New Roman" w:eastAsia="方正仿宋_GBK" w:cs="Times New Roman"/>
          <w:sz w:val="32"/>
          <w:szCs w:val="32"/>
          <w14:ligatures w14:val="standardContextual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14:ligatures w14:val="standardContextual"/>
        </w:rPr>
        <w:t>3. 玻璃檐口金属立体字1套</w:t>
      </w:r>
    </w:p>
    <w:tbl>
      <w:tblPr>
        <w:tblStyle w:val="7"/>
        <w:tblW w:w="8471" w:type="dxa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243"/>
        <w:gridCol w:w="2729"/>
        <w:gridCol w:w="1016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248" w:type="dxa"/>
            <w:vAlign w:val="center"/>
          </w:tcPr>
          <w:p>
            <w:pPr>
              <w:ind w:left="-120" w:firstLine="2" w:firstLineChars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1243" w:type="dxa"/>
            <w:vAlign w:val="center"/>
          </w:tcPr>
          <w:p>
            <w:pPr>
              <w:ind w:left="-120" w:firstLine="28" w:firstLineChars="1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产品名称</w:t>
            </w:r>
          </w:p>
        </w:tc>
        <w:tc>
          <w:tcPr>
            <w:tcW w:w="2729" w:type="dxa"/>
            <w:vAlign w:val="center"/>
          </w:tcPr>
          <w:p>
            <w:pPr>
              <w:ind w:left="11" w:leftChars="-37" w:hanging="89" w:hangingChars="32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尺寸要求</w:t>
            </w:r>
          </w:p>
        </w:tc>
        <w:tc>
          <w:tcPr>
            <w:tcW w:w="1016" w:type="dxa"/>
            <w:vAlign w:val="center"/>
          </w:tcPr>
          <w:p>
            <w:pPr>
              <w:ind w:left="3" w:leftChars="-12" w:hanging="28" w:hangingChars="1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</w:t>
            </w:r>
          </w:p>
        </w:tc>
        <w:tc>
          <w:tcPr>
            <w:tcW w:w="2235" w:type="dxa"/>
            <w:vAlign w:val="center"/>
          </w:tcPr>
          <w:p>
            <w:pPr>
              <w:ind w:left="15" w:leftChars="-42" w:hanging="103" w:hangingChars="37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48" w:type="dxa"/>
            <w:vAlign w:val="center"/>
          </w:tcPr>
          <w:p>
            <w:pPr>
              <w:spacing w:line="330" w:lineRule="exact"/>
              <w:ind w:firstLine="2" w:firstLineChars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spacing w:line="330" w:lineRule="exact"/>
              <w:ind w:firstLine="28" w:firstLineChars="1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楼顶字</w:t>
            </w:r>
          </w:p>
        </w:tc>
        <w:tc>
          <w:tcPr>
            <w:tcW w:w="2729" w:type="dxa"/>
            <w:vAlign w:val="center"/>
          </w:tcPr>
          <w:p>
            <w:pPr>
              <w:spacing w:line="330" w:lineRule="exact"/>
              <w:ind w:left="11" w:leftChars="-37" w:hanging="89" w:hangingChars="32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1.15*1.15米</w:t>
            </w:r>
          </w:p>
        </w:tc>
        <w:tc>
          <w:tcPr>
            <w:tcW w:w="1016" w:type="dxa"/>
            <w:vAlign w:val="center"/>
          </w:tcPr>
          <w:p>
            <w:pPr>
              <w:spacing w:line="340" w:lineRule="exact"/>
              <w:ind w:left="3" w:leftChars="-12" w:hanging="28" w:hangingChars="1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套</w:t>
            </w:r>
          </w:p>
        </w:tc>
        <w:tc>
          <w:tcPr>
            <w:tcW w:w="2235" w:type="dxa"/>
            <w:vAlign w:val="center"/>
          </w:tcPr>
          <w:p>
            <w:pPr>
              <w:spacing w:line="340" w:lineRule="exact"/>
              <w:ind w:left="15" w:leftChars="-42" w:hanging="103" w:hangingChars="37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48" w:type="dxa"/>
            <w:vAlign w:val="center"/>
          </w:tcPr>
          <w:p>
            <w:pPr>
              <w:spacing w:line="330" w:lineRule="exact"/>
              <w:ind w:firstLine="2" w:firstLineChars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spacing w:line="330" w:lineRule="exact"/>
              <w:ind w:firstLine="28" w:firstLineChars="1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楼顶字</w:t>
            </w:r>
          </w:p>
        </w:tc>
        <w:tc>
          <w:tcPr>
            <w:tcW w:w="2729" w:type="dxa"/>
            <w:vAlign w:val="center"/>
          </w:tcPr>
          <w:p>
            <w:pPr>
              <w:spacing w:line="330" w:lineRule="exact"/>
              <w:ind w:left="11" w:leftChars="-37" w:hanging="89" w:hangingChars="32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0.55*0.55米</w:t>
            </w:r>
          </w:p>
        </w:tc>
        <w:tc>
          <w:tcPr>
            <w:tcW w:w="1016" w:type="dxa"/>
            <w:vAlign w:val="center"/>
          </w:tcPr>
          <w:p>
            <w:pPr>
              <w:spacing w:line="340" w:lineRule="exact"/>
              <w:ind w:left="3" w:leftChars="-12" w:hanging="28" w:hangingChars="1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字</w:t>
            </w:r>
          </w:p>
        </w:tc>
        <w:tc>
          <w:tcPr>
            <w:tcW w:w="2235" w:type="dxa"/>
            <w:vAlign w:val="center"/>
          </w:tcPr>
          <w:p>
            <w:pPr>
              <w:spacing w:line="340" w:lineRule="exact"/>
              <w:ind w:left="15" w:leftChars="-42" w:hanging="103" w:hangingChars="37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48" w:type="dxa"/>
            <w:vAlign w:val="center"/>
          </w:tcPr>
          <w:p>
            <w:pPr>
              <w:spacing w:line="330" w:lineRule="exact"/>
              <w:ind w:firstLine="2" w:firstLineChars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1243" w:type="dxa"/>
            <w:vAlign w:val="center"/>
          </w:tcPr>
          <w:p>
            <w:pPr>
              <w:spacing w:line="330" w:lineRule="exact"/>
              <w:ind w:firstLine="28" w:firstLineChars="1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楼顶字</w:t>
            </w:r>
          </w:p>
        </w:tc>
        <w:tc>
          <w:tcPr>
            <w:tcW w:w="2729" w:type="dxa"/>
            <w:vAlign w:val="center"/>
          </w:tcPr>
          <w:p>
            <w:pPr>
              <w:spacing w:line="330" w:lineRule="exact"/>
              <w:ind w:left="11" w:leftChars="-37" w:hanging="89" w:hangingChars="32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1.1*0.42米</w:t>
            </w:r>
          </w:p>
        </w:tc>
        <w:tc>
          <w:tcPr>
            <w:tcW w:w="1016" w:type="dxa"/>
            <w:vAlign w:val="center"/>
          </w:tcPr>
          <w:p>
            <w:pPr>
              <w:spacing w:line="340" w:lineRule="exact"/>
              <w:ind w:left="3" w:leftChars="-12" w:hanging="28" w:hangingChars="1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套</w:t>
            </w:r>
          </w:p>
        </w:tc>
        <w:tc>
          <w:tcPr>
            <w:tcW w:w="2235" w:type="dxa"/>
            <w:vAlign w:val="center"/>
          </w:tcPr>
          <w:p>
            <w:pPr>
              <w:spacing w:line="340" w:lineRule="exact"/>
              <w:ind w:left="15" w:leftChars="-42" w:hanging="103" w:hangingChars="37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48" w:type="dxa"/>
            <w:vAlign w:val="center"/>
          </w:tcPr>
          <w:p>
            <w:pPr>
              <w:spacing w:line="330" w:lineRule="exact"/>
              <w:ind w:firstLine="2" w:firstLineChars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1243" w:type="dxa"/>
            <w:vAlign w:val="center"/>
          </w:tcPr>
          <w:p>
            <w:pPr>
              <w:spacing w:line="330" w:lineRule="exact"/>
              <w:ind w:firstLine="28" w:firstLineChars="1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楼顶字</w:t>
            </w:r>
          </w:p>
        </w:tc>
        <w:tc>
          <w:tcPr>
            <w:tcW w:w="2729" w:type="dxa"/>
            <w:vAlign w:val="center"/>
          </w:tcPr>
          <w:p>
            <w:pPr>
              <w:spacing w:line="330" w:lineRule="exact"/>
              <w:ind w:left="11" w:leftChars="-37" w:hanging="89" w:hangingChars="32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0.14*0.14米</w:t>
            </w:r>
          </w:p>
        </w:tc>
        <w:tc>
          <w:tcPr>
            <w:tcW w:w="1016" w:type="dxa"/>
            <w:vAlign w:val="center"/>
          </w:tcPr>
          <w:p>
            <w:pPr>
              <w:spacing w:line="340" w:lineRule="exact"/>
              <w:ind w:left="3" w:leftChars="-12" w:hanging="28" w:hangingChars="1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字</w:t>
            </w:r>
          </w:p>
        </w:tc>
        <w:tc>
          <w:tcPr>
            <w:tcW w:w="2235" w:type="dxa"/>
            <w:vAlign w:val="center"/>
          </w:tcPr>
          <w:p>
            <w:pPr>
              <w:spacing w:line="340" w:lineRule="exact"/>
              <w:ind w:left="15" w:leftChars="-42" w:hanging="103" w:hangingChars="37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48" w:type="dxa"/>
            <w:vAlign w:val="center"/>
          </w:tcPr>
          <w:p>
            <w:pPr>
              <w:spacing w:line="330" w:lineRule="exact"/>
              <w:ind w:firstLine="2" w:firstLineChars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1243" w:type="dxa"/>
            <w:vAlign w:val="center"/>
          </w:tcPr>
          <w:p>
            <w:pPr>
              <w:spacing w:line="330" w:lineRule="exact"/>
              <w:ind w:firstLine="28" w:firstLineChars="1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楼顶字</w:t>
            </w:r>
          </w:p>
        </w:tc>
        <w:tc>
          <w:tcPr>
            <w:tcW w:w="2729" w:type="dxa"/>
            <w:vAlign w:val="center"/>
          </w:tcPr>
          <w:p>
            <w:pPr>
              <w:spacing w:line="330" w:lineRule="exact"/>
              <w:ind w:left="11" w:leftChars="-37" w:hanging="89" w:hangingChars="32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0.31*0.31米</w:t>
            </w:r>
          </w:p>
        </w:tc>
        <w:tc>
          <w:tcPr>
            <w:tcW w:w="1016" w:type="dxa"/>
            <w:vAlign w:val="center"/>
          </w:tcPr>
          <w:p>
            <w:pPr>
              <w:spacing w:line="340" w:lineRule="exact"/>
              <w:ind w:left="3" w:leftChars="-12" w:hanging="28" w:hangingChars="1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字</w:t>
            </w:r>
          </w:p>
        </w:tc>
        <w:tc>
          <w:tcPr>
            <w:tcW w:w="2235" w:type="dxa"/>
            <w:vAlign w:val="center"/>
          </w:tcPr>
          <w:p>
            <w:pPr>
              <w:spacing w:line="340" w:lineRule="exact"/>
              <w:ind w:left="15" w:leftChars="-42" w:hanging="103" w:hangingChars="37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48" w:type="dxa"/>
            <w:vAlign w:val="center"/>
          </w:tcPr>
          <w:p>
            <w:pPr>
              <w:spacing w:line="330" w:lineRule="exact"/>
              <w:ind w:firstLine="2" w:firstLineChars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1243" w:type="dxa"/>
            <w:vAlign w:val="center"/>
          </w:tcPr>
          <w:p>
            <w:pPr>
              <w:spacing w:line="330" w:lineRule="exact"/>
              <w:ind w:firstLine="28" w:firstLineChars="1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檐顶字</w:t>
            </w:r>
          </w:p>
        </w:tc>
        <w:tc>
          <w:tcPr>
            <w:tcW w:w="2729" w:type="dxa"/>
            <w:vAlign w:val="center"/>
          </w:tcPr>
          <w:p>
            <w:pPr>
              <w:spacing w:line="330" w:lineRule="exact"/>
              <w:ind w:left="11" w:leftChars="-37" w:hanging="89" w:hangingChars="32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0.6*0.6米</w:t>
            </w:r>
          </w:p>
        </w:tc>
        <w:tc>
          <w:tcPr>
            <w:tcW w:w="1016" w:type="dxa"/>
            <w:vAlign w:val="center"/>
          </w:tcPr>
          <w:p>
            <w:pPr>
              <w:spacing w:line="340" w:lineRule="exact"/>
              <w:ind w:left="3" w:leftChars="-12" w:hanging="28" w:hangingChars="1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字</w:t>
            </w:r>
          </w:p>
        </w:tc>
        <w:tc>
          <w:tcPr>
            <w:tcW w:w="2235" w:type="dxa"/>
            <w:vAlign w:val="center"/>
          </w:tcPr>
          <w:p>
            <w:pPr>
              <w:spacing w:line="340" w:lineRule="exact"/>
              <w:ind w:left="15" w:leftChars="-42" w:hanging="103" w:hangingChars="37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48" w:type="dxa"/>
            <w:vAlign w:val="center"/>
          </w:tcPr>
          <w:p>
            <w:pPr>
              <w:spacing w:line="330" w:lineRule="exact"/>
              <w:ind w:firstLine="2" w:firstLineChars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</w:t>
            </w:r>
          </w:p>
        </w:tc>
        <w:tc>
          <w:tcPr>
            <w:tcW w:w="1243" w:type="dxa"/>
            <w:vAlign w:val="center"/>
          </w:tcPr>
          <w:p>
            <w:pPr>
              <w:spacing w:line="330" w:lineRule="exact"/>
              <w:ind w:firstLine="28" w:firstLineChars="1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墙面字</w:t>
            </w:r>
          </w:p>
        </w:tc>
        <w:tc>
          <w:tcPr>
            <w:tcW w:w="2729" w:type="dxa"/>
            <w:vAlign w:val="center"/>
          </w:tcPr>
          <w:p>
            <w:pPr>
              <w:spacing w:line="330" w:lineRule="exact"/>
              <w:ind w:left="11" w:leftChars="-37" w:hanging="89" w:hangingChars="32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0.55*0.55米</w:t>
            </w:r>
          </w:p>
        </w:tc>
        <w:tc>
          <w:tcPr>
            <w:tcW w:w="1016" w:type="dxa"/>
            <w:vAlign w:val="center"/>
          </w:tcPr>
          <w:p>
            <w:pPr>
              <w:spacing w:line="340" w:lineRule="exact"/>
              <w:ind w:left="3" w:leftChars="-12" w:hanging="28" w:hangingChars="1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字</w:t>
            </w:r>
          </w:p>
        </w:tc>
        <w:tc>
          <w:tcPr>
            <w:tcW w:w="2235" w:type="dxa"/>
            <w:vAlign w:val="center"/>
          </w:tcPr>
          <w:p>
            <w:pPr>
              <w:spacing w:line="340" w:lineRule="exact"/>
              <w:ind w:left="15" w:leftChars="-42" w:hanging="103" w:hangingChars="37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48" w:type="dxa"/>
            <w:vAlign w:val="center"/>
          </w:tcPr>
          <w:p>
            <w:pPr>
              <w:spacing w:line="330" w:lineRule="exact"/>
              <w:ind w:firstLine="2" w:firstLineChars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1243" w:type="dxa"/>
            <w:vAlign w:val="center"/>
          </w:tcPr>
          <w:p>
            <w:pPr>
              <w:spacing w:line="330" w:lineRule="exact"/>
              <w:ind w:firstLine="28" w:firstLineChars="1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辅料</w:t>
            </w:r>
          </w:p>
        </w:tc>
        <w:tc>
          <w:tcPr>
            <w:tcW w:w="2729" w:type="dxa"/>
            <w:vAlign w:val="center"/>
          </w:tcPr>
          <w:p>
            <w:pPr>
              <w:spacing w:line="330" w:lineRule="exact"/>
              <w:ind w:left="11" w:leftChars="-37" w:hanging="89" w:hangingChars="32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焊条、电缆线、变压器、时控开关等</w:t>
            </w:r>
          </w:p>
        </w:tc>
        <w:tc>
          <w:tcPr>
            <w:tcW w:w="1016" w:type="dxa"/>
            <w:vAlign w:val="center"/>
          </w:tcPr>
          <w:p>
            <w:pPr>
              <w:spacing w:line="340" w:lineRule="exact"/>
              <w:ind w:left="3" w:leftChars="-12" w:hanging="28" w:hangingChars="1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</w:t>
            </w:r>
          </w:p>
        </w:tc>
        <w:tc>
          <w:tcPr>
            <w:tcW w:w="2235" w:type="dxa"/>
            <w:vAlign w:val="center"/>
          </w:tcPr>
          <w:p>
            <w:pPr>
              <w:spacing w:line="340" w:lineRule="exact"/>
              <w:ind w:left="15" w:leftChars="-42" w:hanging="103" w:hangingChars="37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</w:tr>
    </w:tbl>
    <w:p>
      <w:pPr>
        <w:ind w:firstLine="585" w:firstLineChars="183"/>
        <w:rPr>
          <w:rFonts w:hint="default" w:ascii="Times New Roman" w:hAnsi="Times New Roman" w:eastAsia="方正仿宋_GBK" w:cs="Times New Roman"/>
          <w:sz w:val="32"/>
          <w:szCs w:val="32"/>
          <w14:ligatures w14:val="standardContextual"/>
        </w:rPr>
      </w:pPr>
    </w:p>
    <w:p>
      <w:pPr>
        <w:ind w:firstLine="482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二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商务服务要求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fill="FFFFFF"/>
          <w:lang w:bidi="ar"/>
          <w14:ligatures w14:val="none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bidi="ar-SA"/>
          <w14:ligatures w14:val="standardContextual"/>
        </w:rPr>
        <w:t>1.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fill="FFFFFF"/>
          <w:lang w:bidi="ar"/>
          <w14:ligatures w14:val="none"/>
        </w:rPr>
        <w:t>施工要求：合同签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shd w:val="clear" w:fill="FFFFFF"/>
          <w:lang w:val="en-US" w:eastAsia="zh-CN" w:bidi="ar"/>
          <w14:ligatures w14:val="none"/>
        </w:rPr>
        <w:t>订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fill="FFFFFF"/>
          <w:lang w:bidi="ar"/>
          <w14:ligatures w14:val="none"/>
        </w:rPr>
        <w:t>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fill="FFFFFF"/>
          <w:lang w:val="en-US" w:eastAsia="zh-CN" w:bidi="ar"/>
          <w14:ligatures w14:val="none"/>
        </w:rPr>
        <w:t>接到采购人通知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fill="FFFFFF"/>
          <w:lang w:bidi="ar"/>
          <w14:ligatures w14:val="none"/>
        </w:rPr>
        <w:t>2日内完成设计定稿，定稿后7日内完工。要求静音施工，对施工项目进行现场公示。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firstLine="560" w:firstLineChars="200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fill="FFFFFF"/>
          <w:lang w:bidi="ar"/>
          <w14:ligatures w14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fill="FFFFFF"/>
          <w:lang w:bidi="ar"/>
          <w14:ligatures w14:val="none"/>
        </w:rPr>
        <w:t>2.付款方式：验收合格收并到乙方完税发票后的30日内，支付合同金额的100%。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firstLine="560" w:firstLineChars="200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fill="FFFFFF"/>
          <w:lang w:bidi="ar"/>
          <w14:ligatures w14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fill="FFFFFF"/>
          <w:lang w:bidi="ar"/>
          <w14:ligatures w14:val="none"/>
        </w:rPr>
        <w:t>3.提供需求清单内板材阻燃证明及油漆防锈证明。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firstLine="560" w:firstLineChars="200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fill="FFFFFF"/>
          <w:lang w:bidi="ar"/>
          <w14:ligatures w14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fill="FFFFFF"/>
          <w:lang w:bidi="ar"/>
          <w14:ligatures w14:val="none"/>
        </w:rPr>
        <w:t>4.质保期不低于24个月。</w:t>
      </w:r>
    </w:p>
    <w:p>
      <w:pPr>
        <w:ind w:firstLine="439" w:firstLineChars="182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技术参数</w:t>
      </w:r>
    </w:p>
    <w:p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</w:rPr>
        <w:t>楼顶发光平面灯箱字2套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eastAsia="zh-CN"/>
        </w:rPr>
        <w:t>：</w:t>
      </w:r>
    </w:p>
    <w:p>
      <w:pPr>
        <w:pStyle w:val="6"/>
        <w:shd w:val="clear" w:color="auto" w:fill="FFFFFF"/>
        <w:spacing w:before="0" w:beforeAutospacing="0" w:after="0" w:afterAutospacing="0" w:line="570" w:lineRule="atLeast"/>
        <w:ind w:left="0" w:firstLine="560" w:firstLineChars="200"/>
        <w:rPr>
          <w:rFonts w:hint="default" w:ascii="Times New Roman" w:hAnsi="Times New Roman" w:eastAsia="方正仿宋_GBK" w:cs="Times New Roman"/>
          <w:kern w:val="2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</w:rPr>
        <w:t>整体尺寸为3.5*1.15米，镀锌板烤漆围边，LED光源，光源自动定时开关，镀锌方管背架支撑(镀锌方管需作防锈及美化处理)，安装于急诊楼楼顶</w:t>
      </w:r>
    </w:p>
    <w:p>
      <w:pPr>
        <w:pStyle w:val="6"/>
        <w:shd w:val="clear" w:color="auto" w:fill="FFFFFF"/>
        <w:spacing w:before="0" w:beforeAutospacing="0" w:after="0" w:afterAutospacing="0" w:line="570" w:lineRule="atLeast"/>
        <w:rPr>
          <w:rFonts w:hint="eastAsia" w:ascii="Times New Roman" w:hAnsi="Times New Roman" w:eastAsia="方正仿宋_GBK" w:cs="Times New Roman"/>
          <w:kern w:val="2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</w:rPr>
        <w:t xml:space="preserve">    2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</w:rPr>
        <w:t>墙面金属立体字1套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eastAsia="zh-CN"/>
        </w:rPr>
        <w:t>：</w:t>
      </w:r>
    </w:p>
    <w:p>
      <w:pPr>
        <w:pStyle w:val="6"/>
        <w:shd w:val="clear" w:color="auto" w:fill="FFFFFF"/>
        <w:spacing w:before="0" w:beforeAutospacing="0" w:after="0" w:afterAutospacing="0" w:line="570" w:lineRule="atLeast"/>
        <w:ind w:left="0" w:firstLine="560" w:firstLineChars="200"/>
        <w:rPr>
          <w:rFonts w:hint="default" w:ascii="Times New Roman" w:hAnsi="Times New Roman" w:eastAsia="方正仿宋_GBK" w:cs="Times New Roman"/>
          <w:kern w:val="2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</w:rPr>
        <w:t>整体尺寸为4.05*0.55米，厚度0.05米，镀锌板烤漆折制，不发光，安装于急诊楼外墙面</w:t>
      </w:r>
    </w:p>
    <w:p>
      <w:pPr>
        <w:pStyle w:val="6"/>
        <w:shd w:val="clear" w:color="auto" w:fill="FFFFFF"/>
        <w:spacing w:before="0" w:beforeAutospacing="0" w:after="0" w:afterAutospacing="0" w:line="570" w:lineRule="atLeast"/>
        <w:ind w:left="960" w:hanging="1120" w:hangingChars="400"/>
        <w:rPr>
          <w:rFonts w:hint="eastAsia" w:ascii="Times New Roman" w:hAnsi="Times New Roman" w:eastAsia="方正仿宋_GBK" w:cs="Times New Roman"/>
          <w:kern w:val="2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</w:rPr>
        <w:t xml:space="preserve">    3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</w:rPr>
        <w:t>玻璃檐口金属立体字1套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eastAsia="zh-CN"/>
        </w:rPr>
        <w:t>：</w:t>
      </w:r>
    </w:p>
    <w:p>
      <w:pPr>
        <w:pStyle w:val="6"/>
        <w:shd w:val="clear" w:color="auto" w:fill="FFFFFF"/>
        <w:spacing w:before="0" w:beforeAutospacing="0" w:after="0" w:afterAutospacing="0" w:line="570" w:lineRule="atLeast"/>
        <w:ind w:left="0" w:leftChars="0" w:firstLine="560" w:firstLineChars="200"/>
        <w:rPr>
          <w:rFonts w:hint="default" w:ascii="Times New Roman" w:hAnsi="Times New Roman" w:eastAsia="方正仿宋_GBK" w:cs="Times New Roman"/>
          <w:kern w:val="2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</w:rPr>
        <w:t>整体尺寸为4.4*0.6米，厚度0.05米，镀锌板烤漆折制双面字，镀锌方管背架支撑(镀锌方管需作防锈及美化处理)，不发光，安装于急诊楼外墙面</w:t>
      </w:r>
    </w:p>
    <w:p>
      <w:pPr>
        <w:ind w:firstLine="42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文字内容为：急诊标识、24小时急诊(关键元素需有英文)以及：急诊、儿科门诊、妇科、产科等关键科室信息字样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。</w:t>
      </w:r>
    </w:p>
    <w:p>
      <w:pPr>
        <w:ind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pStyle w:val="5"/>
        <w:rPr>
          <w:rFonts w:hint="default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7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3"/>
        <w:gridCol w:w="269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59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5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采购并安装急诊楼外立面楼体字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日期：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 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投标人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日 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/>
        </w:rPr>
      </w:pPr>
    </w:p>
    <w:p>
      <w:pPr>
        <w:pStyle w:val="2"/>
        <w:spacing w:line="570" w:lineRule="atLeast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360" w:firstLineChars="150"/>
        <w:textAlignment w:val="auto"/>
        <w:rPr>
          <w:rFonts w:hint="default" w:ascii="Times New Roman" w:hAnsi="Times New Roman" w:eastAsia="方正仿宋_GBK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30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（制造商家名称）是在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（国名）依法登记注册的，其地址现在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。其主要营业地点现在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atLeast"/>
        <w:ind w:left="0" w:leftChars="0" w:firstLine="600" w:firstLineChars="25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3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供应商单位法定代表人或授权代表（签字）：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2"/>
          <w:szCs w:val="22"/>
        </w:rPr>
      </w:pPr>
      <w:bookmarkStart w:id="0" w:name="_Toc174767233"/>
      <w:bookmarkStart w:id="1" w:name="_Toc95295163"/>
      <w:bookmarkStart w:id="2" w:name="_Toc23734370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（投标人名称）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投标人名称：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spacing w:line="570" w:lineRule="atLeast"/>
        <w:rPr>
          <w:rFonts w:hint="default" w:ascii="Times New Roman" w:hAnsi="Times New Roman" w:eastAsia="方正仿宋_GBK" w:cs="Times New Roman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spacing w:line="570" w:lineRule="atLeast"/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日期：   年    月    日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left" w:pos="7104"/>
        <w:tab w:val="clear" w:pos="4153"/>
      </w:tabs>
      <w:jc w:val="left"/>
      <w:rPr>
        <w:rFonts w:hint="eastAsia" w:eastAsiaTheme="minorEastAsia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left" w:pos="7104"/>
        <w:tab w:val="clear" w:pos="4153"/>
      </w:tabs>
      <w:jc w:val="left"/>
      <w:rPr>
        <w:rFonts w:hint="eastAsia" w:eastAsiaTheme="minor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60CE"/>
    <w:multiLevelType w:val="multilevel"/>
    <w:tmpl w:val="0D4C60CE"/>
    <w:lvl w:ilvl="0" w:tentative="0">
      <w:start w:val="1"/>
      <w:numFmt w:val="decimal"/>
      <w:lvlText w:val="%1."/>
      <w:lvlJc w:val="left"/>
      <w:pPr>
        <w:ind w:left="960" w:hanging="360"/>
      </w:pPr>
      <w:rPr>
        <w:rFonts w:hint="default" w:cs="宋体"/>
      </w:rPr>
    </w:lvl>
    <w:lvl w:ilvl="1" w:tentative="0">
      <w:start w:val="1"/>
      <w:numFmt w:val="lowerLetter"/>
      <w:lvlText w:val="%2)"/>
      <w:lvlJc w:val="left"/>
      <w:pPr>
        <w:ind w:left="1480" w:hanging="440"/>
      </w:pPr>
    </w:lvl>
    <w:lvl w:ilvl="2" w:tentative="0">
      <w:start w:val="1"/>
      <w:numFmt w:val="lowerRoman"/>
      <w:lvlText w:val="%3."/>
      <w:lvlJc w:val="right"/>
      <w:pPr>
        <w:ind w:left="1920" w:hanging="440"/>
      </w:pPr>
    </w:lvl>
    <w:lvl w:ilvl="3" w:tentative="0">
      <w:start w:val="1"/>
      <w:numFmt w:val="decimal"/>
      <w:lvlText w:val="%4."/>
      <w:lvlJc w:val="left"/>
      <w:pPr>
        <w:ind w:left="2360" w:hanging="440"/>
      </w:pPr>
    </w:lvl>
    <w:lvl w:ilvl="4" w:tentative="0">
      <w:start w:val="1"/>
      <w:numFmt w:val="lowerLetter"/>
      <w:lvlText w:val="%5)"/>
      <w:lvlJc w:val="left"/>
      <w:pPr>
        <w:ind w:left="2800" w:hanging="440"/>
      </w:pPr>
    </w:lvl>
    <w:lvl w:ilvl="5" w:tentative="0">
      <w:start w:val="1"/>
      <w:numFmt w:val="lowerRoman"/>
      <w:lvlText w:val="%6."/>
      <w:lvlJc w:val="right"/>
      <w:pPr>
        <w:ind w:left="3240" w:hanging="440"/>
      </w:pPr>
    </w:lvl>
    <w:lvl w:ilvl="6" w:tentative="0">
      <w:start w:val="1"/>
      <w:numFmt w:val="decimal"/>
      <w:lvlText w:val="%7."/>
      <w:lvlJc w:val="left"/>
      <w:pPr>
        <w:ind w:left="3680" w:hanging="440"/>
      </w:pPr>
    </w:lvl>
    <w:lvl w:ilvl="7" w:tentative="0">
      <w:start w:val="1"/>
      <w:numFmt w:val="lowerLetter"/>
      <w:lvlText w:val="%8)"/>
      <w:lvlJc w:val="left"/>
      <w:pPr>
        <w:ind w:left="4120" w:hanging="440"/>
      </w:pPr>
    </w:lvl>
    <w:lvl w:ilvl="8" w:tentative="0">
      <w:start w:val="1"/>
      <w:numFmt w:val="lowerRoman"/>
      <w:lvlText w:val="%9."/>
      <w:lvlJc w:val="right"/>
      <w:pPr>
        <w:ind w:left="45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B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2025-03-12T07:32:10Z</dcterms:created>
  <dc:creator>OS</dc:creator>
  <cp:lastModifiedBy>們泊冬吴@^_^</cp:lastModifiedBy>
  <dcterms:modified xsi:type="dcterms:W3CDTF">2025-03-12T07:33:25Z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