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pPr>
      <w:bookmarkStart w:id="0" w:name="_Toc95295163"/>
      <w:bookmarkStart w:id="1" w:name="_Toc174767233"/>
      <w:bookmarkStart w:id="2" w:name="_Toc237343703"/>
      <w:r>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t>一、项目基本情况：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 xml:space="preserve">成都市金牛区妇幼保健院1号楼高压配电室、低压配电室及信息机房中设置的柜式七氟丙烷灭火装置于2014年08月安装，其瓶组生产日期为2014年06月25日。依据《气体灭火系统设计规范》GB50370-2005、《气瓶安全技术规程》TSG23-2021、《七氟丙烷（HFC227ea）灭火剂》GB 18614-2012中相关条款，已定期对该七氟丙烷灭火装置瓶组送检。现需将其中4个瓶组的七氟丙烷药剂进行重新充装。需要送检的柜式七氟丙烷灭火装置的瓶组为： </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低压配电室瓶组：120L*3瓶（一双一单瓶组）；</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网络机房瓶组：120L*1瓶（单瓶组）。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注：瓶组贮存压力20℃为：2.5MPa。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ascii="Times New Roman" w:hAnsi="Times New Roman" w:eastAsia="方正仿宋_GBK" w:cs="Times New Roman"/>
          <w:b/>
          <w:bCs/>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t>二、服务技术要求：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2" w:firstLineChars="200"/>
        <w:jc w:val="left"/>
        <w:textAlignment w:val="auto"/>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t>1.气体灭火装置七氟丙烷药剂充装要求：</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送往具有相应专业资质的检测机构进行七氟丙烷药剂充装，并对瓶组检测（确保瓶组符合安全使用要求）。</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瓶组检测合格后充装前，需提供每瓶组的称重（质量），充装完成后提供每瓶组的称重重量（质量）记录资料。</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对瓶组、容器、容器阀等进行相关检测，发现不合格瓶组配件需告知委托方并更换。</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药剂充装完成、储存压力到标准值后，需留存观察48h后再返回安装、并投入使用。</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送回安装时，需现场随机对瓶组进行称重复核充装记录，并采集瓶组内药剂进行留样（对所充装药剂质量有异议可送第三方检测）。</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瓶组拆除时、以及返回安装时，实施方应于与消防维保方、以及消防控制室值班人员做好相应衔接工作。</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瓶组从拆卸到返回安装实施工期不超过7天。</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leftChars="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充装完成后需提供合法、有效、真实的七氟丙烷药剂纯度（HFC227ea灭火剂纯度≥99.6%）、合格证、检验报告、消防产品认证书，瓶组合格资料等。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2" w:firstLineChars="200"/>
        <w:jc w:val="left"/>
        <w:textAlignment w:val="auto"/>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bCs/>
          <w:i w:val="0"/>
          <w:caps w:val="0"/>
          <w:color w:val="auto"/>
          <w:spacing w:val="0"/>
          <w:sz w:val="24"/>
          <w:szCs w:val="24"/>
          <w:shd w:val="clear" w:color="auto" w:fill="FFFFFF"/>
          <w:lang w:val="en-US" w:eastAsia="zh-CN" w:bidi="ar"/>
        </w:rPr>
        <w:t>2.气体灭火装置及七氟丙烷药剂充装清单</w:t>
      </w:r>
      <w:bookmarkStart w:id="3" w:name="_GoBack"/>
      <w:bookmarkEnd w:id="3"/>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left="0" w:right="0" w:firstLine="480" w:firstLineChars="200"/>
        <w:jc w:val="left"/>
        <w:textAlignment w:val="auto"/>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4"/>
          <w:szCs w:val="24"/>
          <w:shd w:val="clear" w:color="auto" w:fill="FFFFFF"/>
          <w:lang w:val="en-US" w:eastAsia="zh-CN" w:bidi="ar"/>
        </w:rPr>
        <w:t>七氟丙烷灭火装置瓶组及药剂充装清单</w:t>
      </w:r>
    </w:p>
    <w:tbl>
      <w:tblPr>
        <w:tblStyle w:val="7"/>
        <w:tblW w:w="9166" w:type="dxa"/>
        <w:tblInd w:w="93" w:type="dxa"/>
        <w:tblLayout w:type="fixed"/>
        <w:tblCellMar>
          <w:top w:w="0" w:type="dxa"/>
          <w:left w:w="108" w:type="dxa"/>
          <w:bottom w:w="0" w:type="dxa"/>
          <w:right w:w="108" w:type="dxa"/>
        </w:tblCellMar>
      </w:tblPr>
      <w:tblGrid>
        <w:gridCol w:w="704"/>
        <w:gridCol w:w="1396"/>
        <w:gridCol w:w="1702"/>
        <w:gridCol w:w="700"/>
        <w:gridCol w:w="1169"/>
        <w:gridCol w:w="1815"/>
        <w:gridCol w:w="1680"/>
      </w:tblGrid>
      <w:tr>
        <w:tblPrEx>
          <w:tblLayout w:type="fixed"/>
          <w:tblCellMar>
            <w:top w:w="0" w:type="dxa"/>
            <w:left w:w="108" w:type="dxa"/>
            <w:bottom w:w="0" w:type="dxa"/>
            <w:right w:w="108" w:type="dxa"/>
          </w:tblCellMar>
        </w:tblPrEx>
        <w:trPr>
          <w:trHeight w:val="497"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序号</w:t>
            </w:r>
          </w:p>
        </w:tc>
        <w:tc>
          <w:tcPr>
            <w:tcW w:w="13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瓶组位置</w:t>
            </w:r>
          </w:p>
        </w:tc>
        <w:tc>
          <w:tcPr>
            <w:tcW w:w="17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规格型号</w:t>
            </w:r>
          </w:p>
        </w:tc>
        <w:tc>
          <w:tcPr>
            <w:tcW w:w="7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数量</w:t>
            </w:r>
          </w:p>
        </w:tc>
        <w:tc>
          <w:tcPr>
            <w:tcW w:w="11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充装量</w:t>
            </w:r>
          </w:p>
        </w:tc>
        <w:tc>
          <w:tcPr>
            <w:tcW w:w="18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lang w:val="en-US" w:eastAsia="zh-CN"/>
              </w:rPr>
            </w:pPr>
            <w:r>
              <w:rPr>
                <w:rFonts w:hint="eastAsia" w:ascii="华文细黑" w:hAnsi="华文细黑" w:eastAsia="华文细黑" w:cs="华文细黑"/>
                <w:b/>
                <w:bCs/>
                <w:color w:val="000000"/>
                <w:kern w:val="0"/>
                <w:sz w:val="22"/>
                <w:szCs w:val="22"/>
                <w:lang w:val="en-US" w:eastAsia="zh-CN"/>
              </w:rPr>
              <w:t>数</w:t>
            </w:r>
            <w:r>
              <w:rPr>
                <w:rFonts w:hint="eastAsia" w:ascii="华文细黑" w:hAnsi="华文细黑" w:eastAsia="华文细黑" w:cs="华文细黑"/>
                <w:b/>
                <w:bCs/>
                <w:color w:val="000000"/>
                <w:kern w:val="0"/>
                <w:sz w:val="22"/>
                <w:szCs w:val="22"/>
              </w:rPr>
              <w:t>量</w:t>
            </w:r>
          </w:p>
        </w:tc>
        <w:tc>
          <w:tcPr>
            <w:tcW w:w="16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备注</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1</w:t>
            </w:r>
          </w:p>
        </w:tc>
        <w:tc>
          <w:tcPr>
            <w:tcW w:w="13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低压配电室瓶组</w:t>
            </w:r>
          </w:p>
        </w:tc>
        <w:tc>
          <w:tcPr>
            <w:tcW w:w="1702"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120L*3瓶(</w:t>
            </w:r>
            <w:r>
              <w:rPr>
                <w:rFonts w:hint="eastAsia" w:ascii="华文细黑" w:hAnsi="华文细黑" w:eastAsia="华文细黑" w:cs="华文细黑"/>
                <w:color w:val="000000"/>
                <w:kern w:val="0"/>
                <w:sz w:val="22"/>
                <w:szCs w:val="22"/>
              </w:rPr>
              <w:t>HFC-227ea</w:t>
            </w:r>
            <w:r>
              <w:rPr>
                <w:rFonts w:hint="eastAsia" w:ascii="华文细黑" w:hAnsi="华文细黑" w:eastAsia="华文细黑" w:cs="华文细黑"/>
                <w:sz w:val="22"/>
                <w:szCs w:val="22"/>
              </w:rPr>
              <w:t>)</w:t>
            </w:r>
          </w:p>
        </w:tc>
        <w:tc>
          <w:tcPr>
            <w:tcW w:w="7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3瓶</w:t>
            </w:r>
          </w:p>
        </w:tc>
        <w:tc>
          <w:tcPr>
            <w:tcW w:w="1169"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lang w:val="en-US" w:eastAsia="zh-CN"/>
              </w:rPr>
              <w:t>103.3</w:t>
            </w:r>
            <w:r>
              <w:rPr>
                <w:rFonts w:hint="eastAsia" w:ascii="华文细黑" w:hAnsi="华文细黑" w:eastAsia="华文细黑" w:cs="华文细黑"/>
                <w:color w:val="000000"/>
                <w:kern w:val="0"/>
                <w:sz w:val="22"/>
                <w:szCs w:val="22"/>
              </w:rPr>
              <w:t>Kg/瓶</w:t>
            </w:r>
          </w:p>
        </w:tc>
        <w:tc>
          <w:tcPr>
            <w:tcW w:w="1815" w:type="dxa"/>
            <w:vMerge w:val="restart"/>
            <w:tcBorders>
              <w:top w:val="nil"/>
              <w:left w:val="nil"/>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lang w:val="en-US" w:eastAsia="zh-CN"/>
              </w:rPr>
              <w:t>43</w:t>
            </w:r>
            <w:r>
              <w:rPr>
                <w:rFonts w:hint="eastAsia" w:ascii="华文细黑" w:hAnsi="华文细黑" w:eastAsia="华文细黑" w:cs="华文细黑"/>
                <w:color w:val="000000"/>
                <w:kern w:val="0"/>
                <w:sz w:val="22"/>
                <w:szCs w:val="22"/>
              </w:rPr>
              <w:t>0Kg</w:t>
            </w:r>
          </w:p>
        </w:tc>
        <w:tc>
          <w:tcPr>
            <w:tcW w:w="1680" w:type="dxa"/>
            <w:vMerge w:val="restart"/>
            <w:tcBorders>
              <w:top w:val="nil"/>
              <w:left w:val="nil"/>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lang w:val="en-US" w:eastAsia="zh-CN"/>
              </w:rPr>
              <w:t>含瓶组检测、</w:t>
            </w:r>
            <w:r>
              <w:rPr>
                <w:rFonts w:hint="eastAsia" w:ascii="华文细黑" w:hAnsi="华文细黑" w:eastAsia="华文细黑" w:cs="华文细黑"/>
                <w:color w:val="000000"/>
                <w:kern w:val="0"/>
                <w:sz w:val="22"/>
                <w:szCs w:val="22"/>
              </w:rPr>
              <w:t>充装药剂量（</w:t>
            </w:r>
            <w:r>
              <w:rPr>
                <w:rFonts w:hint="eastAsia" w:ascii="华文细黑" w:hAnsi="华文细黑" w:eastAsia="华文细黑" w:cs="华文细黑"/>
                <w:sz w:val="22"/>
                <w:szCs w:val="22"/>
              </w:rPr>
              <w:t>纯度≥99.</w:t>
            </w:r>
            <w:r>
              <w:rPr>
                <w:rFonts w:hint="eastAsia" w:ascii="华文细黑" w:hAnsi="华文细黑" w:eastAsia="华文细黑" w:cs="华文细黑"/>
                <w:sz w:val="22"/>
                <w:szCs w:val="22"/>
                <w:lang w:val="en-US" w:eastAsia="zh-CN"/>
              </w:rPr>
              <w:t>6</w:t>
            </w:r>
            <w:r>
              <w:rPr>
                <w:rFonts w:hint="eastAsia" w:ascii="华文细黑" w:hAnsi="华文细黑" w:eastAsia="华文细黑" w:cs="华文细黑"/>
                <w:sz w:val="22"/>
                <w:szCs w:val="22"/>
              </w:rPr>
              <w:t>%</w:t>
            </w:r>
            <w:r>
              <w:rPr>
                <w:rFonts w:hint="eastAsia" w:ascii="华文细黑" w:hAnsi="华文细黑" w:eastAsia="华文细黑" w:cs="华文细黑"/>
                <w:color w:val="000000"/>
                <w:kern w:val="0"/>
                <w:sz w:val="22"/>
                <w:szCs w:val="22"/>
              </w:rPr>
              <w:t>）</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2</w:t>
            </w:r>
          </w:p>
        </w:tc>
        <w:tc>
          <w:tcPr>
            <w:tcW w:w="13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网络机房瓶组</w:t>
            </w:r>
          </w:p>
        </w:tc>
        <w:tc>
          <w:tcPr>
            <w:tcW w:w="1702"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120L*1瓶(</w:t>
            </w:r>
            <w:r>
              <w:rPr>
                <w:rFonts w:hint="eastAsia" w:ascii="华文细黑" w:hAnsi="华文细黑" w:eastAsia="华文细黑" w:cs="华文细黑"/>
                <w:color w:val="000000"/>
                <w:kern w:val="0"/>
                <w:sz w:val="22"/>
                <w:szCs w:val="22"/>
              </w:rPr>
              <w:t>HFC-227ea</w:t>
            </w:r>
            <w:r>
              <w:rPr>
                <w:rFonts w:hint="eastAsia" w:ascii="华文细黑" w:hAnsi="华文细黑" w:eastAsia="华文细黑" w:cs="华文细黑"/>
                <w:sz w:val="22"/>
                <w:szCs w:val="22"/>
              </w:rPr>
              <w:t>)</w:t>
            </w:r>
          </w:p>
        </w:tc>
        <w:tc>
          <w:tcPr>
            <w:tcW w:w="7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lang w:val="en-US" w:eastAsia="zh-CN"/>
              </w:rPr>
              <w:t>1</w:t>
            </w:r>
            <w:r>
              <w:rPr>
                <w:rFonts w:hint="eastAsia" w:ascii="华文细黑" w:hAnsi="华文细黑" w:eastAsia="华文细黑" w:cs="华文细黑"/>
                <w:color w:val="000000"/>
                <w:kern w:val="0"/>
                <w:sz w:val="22"/>
                <w:szCs w:val="22"/>
              </w:rPr>
              <w:t>瓶</w:t>
            </w:r>
          </w:p>
        </w:tc>
        <w:tc>
          <w:tcPr>
            <w:tcW w:w="1169"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120</w:t>
            </w:r>
            <w:r>
              <w:rPr>
                <w:rFonts w:hint="eastAsia" w:ascii="华文细黑" w:hAnsi="华文细黑" w:eastAsia="华文细黑" w:cs="华文细黑"/>
                <w:color w:val="000000"/>
                <w:kern w:val="0"/>
                <w:sz w:val="22"/>
                <w:szCs w:val="22"/>
                <w:lang w:val="en-US" w:eastAsia="zh-CN"/>
              </w:rPr>
              <w:t>.0</w:t>
            </w:r>
            <w:r>
              <w:rPr>
                <w:rFonts w:hint="eastAsia" w:ascii="华文细黑" w:hAnsi="华文细黑" w:eastAsia="华文细黑" w:cs="华文细黑"/>
                <w:color w:val="000000"/>
                <w:kern w:val="0"/>
                <w:sz w:val="22"/>
                <w:szCs w:val="22"/>
              </w:rPr>
              <w:t>Kg/瓶</w:t>
            </w:r>
          </w:p>
        </w:tc>
        <w:tc>
          <w:tcPr>
            <w:tcW w:w="1815" w:type="dxa"/>
            <w:vMerge w:val="continue"/>
            <w:tcBorders>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p>
        </w:tc>
        <w:tc>
          <w:tcPr>
            <w:tcW w:w="1680" w:type="dxa"/>
            <w:vMerge w:val="continue"/>
            <w:tcBorders>
              <w:left w:val="nil"/>
              <w:bottom w:val="single" w:color="auto" w:sz="4" w:space="0"/>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r>
      <w:tr>
        <w:tblPrEx>
          <w:tblLayout w:type="fixed"/>
          <w:tblCellMar>
            <w:top w:w="0" w:type="dxa"/>
            <w:left w:w="108" w:type="dxa"/>
            <w:bottom w:w="0" w:type="dxa"/>
            <w:right w:w="108" w:type="dxa"/>
          </w:tblCellMar>
        </w:tblPrEx>
        <w:trPr>
          <w:trHeight w:val="547"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3</w:t>
            </w:r>
          </w:p>
        </w:tc>
        <w:tc>
          <w:tcPr>
            <w:tcW w:w="139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华文细黑" w:hAnsi="华文细黑" w:eastAsia="华文细黑" w:cs="华文细黑"/>
                <w:sz w:val="22"/>
                <w:szCs w:val="22"/>
                <w:lang w:val="en-US" w:eastAsia="zh-CN"/>
              </w:rPr>
            </w:pPr>
            <w:r>
              <w:rPr>
                <w:rFonts w:hint="eastAsia" w:ascii="华文细黑" w:hAnsi="华文细黑" w:eastAsia="华文细黑" w:cs="华文细黑"/>
                <w:sz w:val="22"/>
                <w:szCs w:val="22"/>
              </w:rPr>
              <w:t>瓶组运输</w:t>
            </w:r>
            <w:r>
              <w:rPr>
                <w:rFonts w:hint="eastAsia" w:ascii="华文细黑" w:hAnsi="华文细黑" w:eastAsia="华文细黑" w:cs="华文细黑"/>
                <w:sz w:val="22"/>
                <w:szCs w:val="22"/>
                <w:lang w:val="en-US" w:eastAsia="zh-CN"/>
              </w:rPr>
              <w:t>及措施</w:t>
            </w:r>
          </w:p>
        </w:tc>
        <w:tc>
          <w:tcPr>
            <w:tcW w:w="1702"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7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瓶组</w:t>
            </w:r>
          </w:p>
        </w:tc>
        <w:tc>
          <w:tcPr>
            <w:tcW w:w="1169" w:type="dxa"/>
            <w:tcBorders>
              <w:top w:val="nil"/>
              <w:left w:val="nil"/>
              <w:bottom w:val="single" w:color="auto" w:sz="4" w:space="0"/>
              <w:right w:val="single" w:color="auto" w:sz="4" w:space="0"/>
            </w:tcBorders>
            <w:noWrap w:val="0"/>
            <w:vAlign w:val="center"/>
          </w:tcPr>
          <w:p>
            <w:pPr>
              <w:widowControl/>
              <w:jc w:val="center"/>
              <w:rPr>
                <w:rFonts w:hint="default"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1815"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lang w:val="en-US" w:eastAsia="zh-CN"/>
              </w:rPr>
              <w:t>4</w:t>
            </w:r>
          </w:p>
        </w:tc>
        <w:tc>
          <w:tcPr>
            <w:tcW w:w="1680" w:type="dxa"/>
            <w:tcBorders>
              <w:top w:val="single" w:color="auto" w:sz="4" w:space="0"/>
              <w:left w:val="nil"/>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lang w:val="en-US" w:eastAsia="zh-CN"/>
              </w:rPr>
              <w:t>含瓶</w:t>
            </w:r>
            <w:r>
              <w:rPr>
                <w:rFonts w:hint="eastAsia" w:ascii="华文细黑" w:hAnsi="华文细黑" w:eastAsia="华文细黑" w:cs="华文细黑"/>
                <w:sz w:val="22"/>
                <w:szCs w:val="22"/>
              </w:rPr>
              <w:t>组保护</w:t>
            </w:r>
          </w:p>
        </w:tc>
      </w:tr>
      <w:tr>
        <w:tblPrEx>
          <w:tblLayout w:type="fixed"/>
          <w:tblCellMar>
            <w:top w:w="0" w:type="dxa"/>
            <w:left w:w="108" w:type="dxa"/>
            <w:bottom w:w="0" w:type="dxa"/>
            <w:right w:w="108" w:type="dxa"/>
          </w:tblCellMar>
        </w:tblPrEx>
        <w:trPr>
          <w:trHeight w:val="397" w:hRule="atLeast"/>
        </w:trPr>
        <w:tc>
          <w:tcPr>
            <w:tcW w:w="704"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4</w:t>
            </w:r>
          </w:p>
        </w:tc>
        <w:tc>
          <w:tcPr>
            <w:tcW w:w="139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拆卸</w:t>
            </w:r>
            <w:r>
              <w:rPr>
                <w:rFonts w:hint="eastAsia" w:ascii="华文细黑" w:hAnsi="华文细黑" w:eastAsia="华文细黑" w:cs="华文细黑"/>
                <w:sz w:val="22"/>
                <w:szCs w:val="22"/>
                <w:lang w:eastAsia="zh-CN"/>
              </w:rPr>
              <w:t>、</w:t>
            </w:r>
            <w:r>
              <w:rPr>
                <w:rFonts w:hint="eastAsia" w:ascii="华文细黑" w:hAnsi="华文细黑" w:eastAsia="华文细黑" w:cs="华文细黑"/>
                <w:sz w:val="22"/>
                <w:szCs w:val="22"/>
              </w:rPr>
              <w:t>安装及</w:t>
            </w:r>
            <w:r>
              <w:rPr>
                <w:rFonts w:hint="eastAsia" w:ascii="华文细黑" w:hAnsi="华文细黑" w:eastAsia="华文细黑" w:cs="华文细黑"/>
                <w:sz w:val="22"/>
                <w:szCs w:val="22"/>
                <w:lang w:val="en-US" w:eastAsia="zh-CN"/>
              </w:rPr>
              <w:t>保险</w:t>
            </w:r>
          </w:p>
        </w:tc>
        <w:tc>
          <w:tcPr>
            <w:tcW w:w="1702"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7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项</w:t>
            </w:r>
          </w:p>
        </w:tc>
        <w:tc>
          <w:tcPr>
            <w:tcW w:w="1169" w:type="dxa"/>
            <w:tcBorders>
              <w:top w:val="nil"/>
              <w:left w:val="nil"/>
              <w:bottom w:val="single" w:color="auto" w:sz="4" w:space="0"/>
              <w:right w:val="single" w:color="auto" w:sz="4" w:space="0"/>
            </w:tcBorders>
            <w:noWrap w:val="0"/>
            <w:vAlign w:val="center"/>
          </w:tcPr>
          <w:p>
            <w:pPr>
              <w:widowControl/>
              <w:jc w:val="center"/>
              <w:rPr>
                <w:rFonts w:hint="default"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1815"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lang w:val="en-US" w:eastAsia="zh-CN"/>
              </w:rPr>
              <w:t>1</w:t>
            </w:r>
          </w:p>
        </w:tc>
        <w:tc>
          <w:tcPr>
            <w:tcW w:w="1680" w:type="dxa"/>
            <w:tcBorders>
              <w:top w:val="single" w:color="auto" w:sz="4" w:space="0"/>
              <w:left w:val="nil"/>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r>
      <w:tr>
        <w:tblPrEx>
          <w:tblLayout w:type="fixed"/>
          <w:tblCellMar>
            <w:top w:w="0" w:type="dxa"/>
            <w:left w:w="108" w:type="dxa"/>
            <w:bottom w:w="0" w:type="dxa"/>
            <w:right w:w="108" w:type="dxa"/>
          </w:tblCellMar>
        </w:tblPrEx>
        <w:trPr>
          <w:trHeight w:val="2007" w:hRule="atLeast"/>
        </w:trPr>
        <w:tc>
          <w:tcPr>
            <w:tcW w:w="9166" w:type="dxa"/>
            <w:gridSpan w:val="7"/>
            <w:tcBorders>
              <w:top w:val="single" w:color="auto" w:sz="4" w:space="0"/>
              <w:left w:val="single" w:color="auto" w:sz="4" w:space="0"/>
              <w:bottom w:val="single" w:color="auto" w:sz="4" w:space="0"/>
              <w:right w:val="single" w:color="000000" w:sz="4" w:space="0"/>
            </w:tcBorders>
            <w:noWrap w:val="0"/>
            <w:vAlign w:val="top"/>
          </w:tcPr>
          <w:p>
            <w:pPr>
              <w:rPr>
                <w:rFonts w:hint="eastAsia" w:ascii="华文细黑" w:hAnsi="华文细黑" w:eastAsia="华文细黑" w:cs="华文细黑"/>
                <w:color w:val="000000"/>
                <w:sz w:val="22"/>
                <w:szCs w:val="22"/>
              </w:rPr>
            </w:pPr>
            <w:r>
              <w:rPr>
                <w:rFonts w:hint="eastAsia" w:ascii="华文细黑" w:hAnsi="华文细黑" w:eastAsia="华文细黑" w:cs="华文细黑"/>
                <w:color w:val="000000"/>
                <w:sz w:val="22"/>
                <w:szCs w:val="22"/>
              </w:rPr>
              <w:t>注意事项：</w:t>
            </w:r>
          </w:p>
          <w:p>
            <w:pPr>
              <w:widowControl/>
              <w:numPr>
                <w:ilvl w:val="0"/>
                <w:numId w:val="3"/>
              </w:numPr>
              <w:ind w:firstLine="440" w:firstLineChars="200"/>
              <w:rPr>
                <w:rFonts w:hint="default"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充装方需为送检方的气体保护区域提供相应的安全防护措施和方案建议。</w:t>
            </w:r>
          </w:p>
          <w:p>
            <w:pPr>
              <w:widowControl/>
              <w:numPr>
                <w:ilvl w:val="0"/>
                <w:numId w:val="3"/>
              </w:numPr>
              <w:ind w:firstLine="440" w:firstLineChars="200"/>
              <w:rPr>
                <w:rFonts w:hint="default"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拆除瓶组前，充装方需与消防维保方、消防控制室值班人员等做好衔接沟通工作，确保这期间的消防安全；并提供做好安全防护措施方案。</w:t>
            </w:r>
          </w:p>
          <w:p>
            <w:pPr>
              <w:widowControl/>
              <w:numPr>
                <w:ilvl w:val="0"/>
                <w:numId w:val="3"/>
              </w:numPr>
              <w:ind w:firstLine="440" w:firstLineChars="200"/>
              <w:rPr>
                <w:rFonts w:hint="eastAsia" w:ascii="华文细黑" w:hAnsi="华文细黑" w:eastAsia="华文细黑" w:cs="华文细黑"/>
                <w:color w:val="000000"/>
                <w:sz w:val="22"/>
                <w:szCs w:val="22"/>
              </w:rPr>
            </w:pPr>
            <w:r>
              <w:rPr>
                <w:rFonts w:hint="eastAsia" w:ascii="华文细黑" w:hAnsi="华文细黑" w:eastAsia="华文细黑" w:cs="华文细黑"/>
                <w:color w:val="000000"/>
                <w:sz w:val="22"/>
                <w:szCs w:val="22"/>
                <w:lang w:val="en-US" w:eastAsia="zh-CN"/>
              </w:rPr>
              <w:t>在实施过程中，因无相应自动灭火设施，委托方需增派人员、每日定期巡查，增配相应的备用灭火器材等防护措施；确保消防安全。</w:t>
            </w:r>
          </w:p>
        </w:tc>
      </w:tr>
    </w:tbl>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p>
    <w:p>
      <w:pPr>
        <w:jc w:val="both"/>
        <w:rPr>
          <w:rFonts w:hint="eastAsia" w:ascii="方正小标宋_GBK" w:hAnsi="方正小标宋_GBK" w:eastAsia="方正小标宋_GBK" w:cs="方正小标宋_GBK"/>
          <w:color w:val="333333"/>
          <w:kern w:val="0"/>
          <w:sz w:val="28"/>
          <w:szCs w:val="28"/>
          <w:lang w:val="en-US" w:eastAsia="zh-CN"/>
        </w:rPr>
      </w:pPr>
      <w:r>
        <w:rPr>
          <w:rFonts w:hint="eastAsia" w:ascii="方正小标宋_GBK" w:hAnsi="方正小标宋_GBK" w:eastAsia="方正小标宋_GBK" w:cs="方正小标宋_GBK"/>
          <w:color w:val="333333"/>
          <w:kern w:val="0"/>
          <w:sz w:val="28"/>
          <w:szCs w:val="28"/>
          <w:lang w:val="en-US" w:eastAsia="zh-CN"/>
        </w:rPr>
        <w:t>附件2：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exact"/>
        <w:ind w:right="0"/>
        <w:jc w:val="center"/>
        <w:textAlignment w:val="auto"/>
        <w:rPr>
          <w:rFonts w:hint="eastAsia" w:ascii="Times New Roman" w:hAnsi="Times New Roman" w:eastAsia="方正仿宋_GBK" w:cs="Times New Roman"/>
          <w:b w:val="0"/>
          <w:bCs w:val="0"/>
          <w:i w:val="0"/>
          <w:caps w:val="0"/>
          <w:color w:val="auto"/>
          <w:spacing w:val="0"/>
          <w:sz w:val="28"/>
          <w:szCs w:val="28"/>
          <w:shd w:val="clear" w:color="auto" w:fill="FFFFFF"/>
          <w:lang w:val="en-US" w:eastAsia="zh-CN" w:bidi="ar"/>
        </w:rPr>
      </w:pPr>
      <w:r>
        <w:rPr>
          <w:rFonts w:hint="eastAsia" w:ascii="Times New Roman" w:hAnsi="Times New Roman" w:eastAsia="方正仿宋_GBK" w:cs="Times New Roman"/>
          <w:b w:val="0"/>
          <w:bCs w:val="0"/>
          <w:i w:val="0"/>
          <w:caps w:val="0"/>
          <w:color w:val="auto"/>
          <w:spacing w:val="0"/>
          <w:sz w:val="28"/>
          <w:szCs w:val="28"/>
          <w:shd w:val="clear" w:color="auto" w:fill="FFFFFF"/>
          <w:lang w:val="en-US" w:eastAsia="zh-CN" w:bidi="ar"/>
        </w:rPr>
        <w:t>报价一览表</w:t>
      </w:r>
    </w:p>
    <w:tbl>
      <w:tblPr>
        <w:tblStyle w:val="7"/>
        <w:tblW w:w="9166" w:type="dxa"/>
        <w:tblInd w:w="93" w:type="dxa"/>
        <w:tblLayout w:type="fixed"/>
        <w:tblCellMar>
          <w:top w:w="0" w:type="dxa"/>
          <w:left w:w="108" w:type="dxa"/>
          <w:bottom w:w="0" w:type="dxa"/>
          <w:right w:w="108" w:type="dxa"/>
        </w:tblCellMar>
      </w:tblPr>
      <w:tblGrid>
        <w:gridCol w:w="616"/>
        <w:gridCol w:w="1215"/>
        <w:gridCol w:w="1575"/>
        <w:gridCol w:w="660"/>
        <w:gridCol w:w="900"/>
        <w:gridCol w:w="720"/>
        <w:gridCol w:w="1065"/>
        <w:gridCol w:w="1170"/>
        <w:gridCol w:w="1245"/>
      </w:tblGrid>
      <w:tr>
        <w:tblPrEx>
          <w:tblLayout w:type="fixed"/>
          <w:tblCellMar>
            <w:top w:w="0" w:type="dxa"/>
            <w:left w:w="108" w:type="dxa"/>
            <w:bottom w:w="0" w:type="dxa"/>
            <w:right w:w="108" w:type="dxa"/>
          </w:tblCellMar>
        </w:tblPrEx>
        <w:trPr>
          <w:trHeight w:val="49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pPr>
              <w:widowControl/>
              <w:ind w:right="-239" w:rightChars="-114"/>
              <w:jc w:val="left"/>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序号</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瓶组位置</w:t>
            </w:r>
          </w:p>
        </w:tc>
        <w:tc>
          <w:tcPr>
            <w:tcW w:w="157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规格型号</w:t>
            </w:r>
          </w:p>
        </w:tc>
        <w:tc>
          <w:tcPr>
            <w:tcW w:w="6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数量</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充装量</w:t>
            </w:r>
          </w:p>
        </w:tc>
        <w:tc>
          <w:tcPr>
            <w:tcW w:w="7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lang w:val="en-US" w:eastAsia="zh-CN"/>
              </w:rPr>
            </w:pPr>
            <w:r>
              <w:rPr>
                <w:rFonts w:hint="eastAsia" w:ascii="华文细黑" w:hAnsi="华文细黑" w:eastAsia="华文细黑" w:cs="华文细黑"/>
                <w:b/>
                <w:bCs/>
                <w:color w:val="000000"/>
                <w:kern w:val="0"/>
                <w:sz w:val="22"/>
                <w:szCs w:val="22"/>
                <w:lang w:val="en-US" w:eastAsia="zh-CN"/>
              </w:rPr>
              <w:t>数</w:t>
            </w:r>
            <w:r>
              <w:rPr>
                <w:rFonts w:hint="eastAsia" w:ascii="华文细黑" w:hAnsi="华文细黑" w:eastAsia="华文细黑" w:cs="华文细黑"/>
                <w:b/>
                <w:bCs/>
                <w:color w:val="000000"/>
                <w:kern w:val="0"/>
                <w:sz w:val="22"/>
                <w:szCs w:val="22"/>
              </w:rPr>
              <w:t>量</w:t>
            </w:r>
          </w:p>
        </w:tc>
        <w:tc>
          <w:tcPr>
            <w:tcW w:w="1065" w:type="dxa"/>
            <w:tcBorders>
              <w:top w:val="single" w:color="auto" w:sz="4" w:space="0"/>
              <w:left w:val="nil"/>
              <w:bottom w:val="single" w:color="auto" w:sz="4" w:space="0"/>
              <w:right w:val="single" w:color="auto" w:sz="4" w:space="0"/>
            </w:tcBorders>
            <w:noWrap w:val="0"/>
            <w:vAlign w:val="center"/>
          </w:tcPr>
          <w:p>
            <w:pPr>
              <w:widowControl/>
              <w:ind w:right="-239" w:rightChars="-114"/>
              <w:jc w:val="left"/>
              <w:rPr>
                <w:rFonts w:hint="eastAsia" w:ascii="华文细黑" w:hAnsi="华文细黑" w:eastAsia="华文细黑" w:cs="华文细黑"/>
                <w:b/>
                <w:bCs/>
                <w:color w:val="000000"/>
                <w:kern w:val="0"/>
                <w:sz w:val="22"/>
                <w:szCs w:val="22"/>
                <w:lang w:eastAsia="zh-CN"/>
              </w:rPr>
            </w:pPr>
            <w:r>
              <w:rPr>
                <w:rFonts w:hint="eastAsia" w:ascii="华文细黑" w:hAnsi="华文细黑" w:eastAsia="华文细黑" w:cs="华文细黑"/>
                <w:b/>
                <w:bCs/>
                <w:color w:val="000000"/>
                <w:kern w:val="0"/>
                <w:sz w:val="22"/>
                <w:szCs w:val="22"/>
                <w:lang w:val="en-US" w:eastAsia="zh-CN"/>
              </w:rPr>
              <w:t>综合单价</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lang w:val="en-US" w:eastAsia="zh-CN"/>
              </w:rPr>
            </w:pPr>
            <w:r>
              <w:rPr>
                <w:rFonts w:hint="eastAsia" w:ascii="华文细黑" w:hAnsi="华文细黑" w:eastAsia="华文细黑" w:cs="华文细黑"/>
                <w:b/>
                <w:bCs/>
                <w:color w:val="000000"/>
                <w:kern w:val="0"/>
                <w:sz w:val="22"/>
                <w:szCs w:val="22"/>
                <w:lang w:val="en-US" w:eastAsia="zh-CN"/>
              </w:rPr>
              <w:t>小计</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color w:val="000000"/>
                <w:kern w:val="0"/>
                <w:sz w:val="22"/>
                <w:szCs w:val="22"/>
              </w:rPr>
            </w:pPr>
            <w:r>
              <w:rPr>
                <w:rFonts w:hint="eastAsia" w:ascii="华文细黑" w:hAnsi="华文细黑" w:eastAsia="华文细黑" w:cs="华文细黑"/>
                <w:b/>
                <w:bCs/>
                <w:color w:val="000000"/>
                <w:kern w:val="0"/>
                <w:sz w:val="22"/>
                <w:szCs w:val="22"/>
              </w:rPr>
              <w:t>备注</w:t>
            </w:r>
          </w:p>
        </w:tc>
      </w:tr>
      <w:tr>
        <w:tblPrEx>
          <w:tblLayout w:type="fixed"/>
          <w:tblCellMar>
            <w:top w:w="0" w:type="dxa"/>
            <w:left w:w="108" w:type="dxa"/>
            <w:bottom w:w="0" w:type="dxa"/>
            <w:right w:w="108" w:type="dxa"/>
          </w:tblCellMar>
        </w:tblPrEx>
        <w:trPr>
          <w:trHeight w:val="397"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1</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低压配电室瓶组</w:t>
            </w:r>
          </w:p>
        </w:tc>
        <w:tc>
          <w:tcPr>
            <w:tcW w:w="1575"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120L*3瓶(</w:t>
            </w:r>
            <w:r>
              <w:rPr>
                <w:rFonts w:hint="eastAsia" w:ascii="华文细黑" w:hAnsi="华文细黑" w:eastAsia="华文细黑" w:cs="华文细黑"/>
                <w:color w:val="000000"/>
                <w:kern w:val="0"/>
                <w:sz w:val="22"/>
                <w:szCs w:val="22"/>
              </w:rPr>
              <w:t>HFC-227ea</w:t>
            </w:r>
            <w:r>
              <w:rPr>
                <w:rFonts w:hint="eastAsia" w:ascii="华文细黑" w:hAnsi="华文细黑" w:eastAsia="华文细黑" w:cs="华文细黑"/>
                <w:sz w:val="22"/>
                <w:szCs w:val="22"/>
              </w:rPr>
              <w:t>)</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3瓶</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lang w:val="en-US" w:eastAsia="zh-CN"/>
              </w:rPr>
              <w:t>103.3</w:t>
            </w:r>
          </w:p>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Kg/瓶</w:t>
            </w:r>
          </w:p>
        </w:tc>
        <w:tc>
          <w:tcPr>
            <w:tcW w:w="720" w:type="dxa"/>
            <w:vMerge w:val="restart"/>
            <w:tcBorders>
              <w:top w:val="nil"/>
              <w:left w:val="nil"/>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lang w:val="en-US" w:eastAsia="zh-CN"/>
              </w:rPr>
              <w:t>43</w:t>
            </w:r>
            <w:r>
              <w:rPr>
                <w:rFonts w:hint="eastAsia" w:ascii="华文细黑" w:hAnsi="华文细黑" w:eastAsia="华文细黑" w:cs="华文细黑"/>
                <w:color w:val="000000"/>
                <w:kern w:val="0"/>
                <w:sz w:val="22"/>
                <w:szCs w:val="22"/>
              </w:rPr>
              <w:t>0</w:t>
            </w:r>
          </w:p>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Kg</w:t>
            </w:r>
          </w:p>
        </w:tc>
        <w:tc>
          <w:tcPr>
            <w:tcW w:w="1065" w:type="dxa"/>
            <w:vMerge w:val="restart"/>
            <w:tcBorders>
              <w:top w:val="nil"/>
              <w:left w:val="nil"/>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p>
        </w:tc>
        <w:tc>
          <w:tcPr>
            <w:tcW w:w="1170" w:type="dxa"/>
            <w:vMerge w:val="restart"/>
            <w:tcBorders>
              <w:top w:val="nil"/>
              <w:left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p>
        </w:tc>
        <w:tc>
          <w:tcPr>
            <w:tcW w:w="1245" w:type="dxa"/>
            <w:vMerge w:val="restart"/>
            <w:tcBorders>
              <w:top w:val="nil"/>
              <w:left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lang w:val="en-US" w:eastAsia="zh-CN"/>
              </w:rPr>
              <w:t>含瓶组检测、</w:t>
            </w:r>
            <w:r>
              <w:rPr>
                <w:rFonts w:hint="eastAsia" w:ascii="华文细黑" w:hAnsi="华文细黑" w:eastAsia="华文细黑" w:cs="华文细黑"/>
                <w:color w:val="000000"/>
                <w:kern w:val="0"/>
                <w:sz w:val="22"/>
                <w:szCs w:val="22"/>
              </w:rPr>
              <w:t>充装药剂量（</w:t>
            </w:r>
            <w:r>
              <w:rPr>
                <w:rFonts w:hint="eastAsia" w:ascii="华文细黑" w:hAnsi="华文细黑" w:eastAsia="华文细黑" w:cs="华文细黑"/>
                <w:sz w:val="22"/>
                <w:szCs w:val="22"/>
              </w:rPr>
              <w:t>纯度≥99.</w:t>
            </w:r>
            <w:r>
              <w:rPr>
                <w:rFonts w:hint="eastAsia" w:ascii="华文细黑" w:hAnsi="华文细黑" w:eastAsia="华文细黑" w:cs="华文细黑"/>
                <w:sz w:val="22"/>
                <w:szCs w:val="22"/>
                <w:lang w:val="en-US" w:eastAsia="zh-CN"/>
              </w:rPr>
              <w:t>6</w:t>
            </w:r>
            <w:r>
              <w:rPr>
                <w:rFonts w:hint="eastAsia" w:ascii="华文细黑" w:hAnsi="华文细黑" w:eastAsia="华文细黑" w:cs="华文细黑"/>
                <w:sz w:val="22"/>
                <w:szCs w:val="22"/>
              </w:rPr>
              <w:t>%</w:t>
            </w:r>
            <w:r>
              <w:rPr>
                <w:rFonts w:hint="eastAsia" w:ascii="华文细黑" w:hAnsi="华文细黑" w:eastAsia="华文细黑" w:cs="华文细黑"/>
                <w:color w:val="000000"/>
                <w:kern w:val="0"/>
                <w:sz w:val="22"/>
                <w:szCs w:val="22"/>
              </w:rPr>
              <w:t>）</w:t>
            </w:r>
          </w:p>
        </w:tc>
      </w:tr>
      <w:tr>
        <w:tblPrEx>
          <w:tblLayout w:type="fixed"/>
          <w:tblCellMar>
            <w:top w:w="0" w:type="dxa"/>
            <w:left w:w="108" w:type="dxa"/>
            <w:bottom w:w="0" w:type="dxa"/>
            <w:right w:w="108" w:type="dxa"/>
          </w:tblCellMar>
        </w:tblPrEx>
        <w:trPr>
          <w:trHeight w:val="397"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2</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网络机房瓶组</w:t>
            </w:r>
          </w:p>
        </w:tc>
        <w:tc>
          <w:tcPr>
            <w:tcW w:w="1575"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rPr>
              <w:t>120L*1瓶(</w:t>
            </w:r>
            <w:r>
              <w:rPr>
                <w:rFonts w:hint="eastAsia" w:ascii="华文细黑" w:hAnsi="华文细黑" w:eastAsia="华文细黑" w:cs="华文细黑"/>
                <w:color w:val="000000"/>
                <w:kern w:val="0"/>
                <w:sz w:val="22"/>
                <w:szCs w:val="22"/>
              </w:rPr>
              <w:t>HFC-227ea</w:t>
            </w:r>
            <w:r>
              <w:rPr>
                <w:rFonts w:hint="eastAsia" w:ascii="华文细黑" w:hAnsi="华文细黑" w:eastAsia="华文细黑" w:cs="华文细黑"/>
                <w:sz w:val="22"/>
                <w:szCs w:val="22"/>
              </w:rPr>
              <w:t>)</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1瓶</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rPr>
              <w:t>120</w:t>
            </w:r>
            <w:r>
              <w:rPr>
                <w:rFonts w:hint="eastAsia" w:ascii="华文细黑" w:hAnsi="华文细黑" w:eastAsia="华文细黑" w:cs="华文细黑"/>
                <w:color w:val="000000"/>
                <w:kern w:val="0"/>
                <w:sz w:val="22"/>
                <w:szCs w:val="22"/>
                <w:lang w:val="en-US" w:eastAsia="zh-CN"/>
              </w:rPr>
              <w:t>.0</w:t>
            </w:r>
          </w:p>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color w:val="000000"/>
                <w:kern w:val="0"/>
                <w:sz w:val="22"/>
                <w:szCs w:val="22"/>
              </w:rPr>
              <w:t>Kg/瓶</w:t>
            </w:r>
          </w:p>
        </w:tc>
        <w:tc>
          <w:tcPr>
            <w:tcW w:w="720" w:type="dxa"/>
            <w:vMerge w:val="continue"/>
            <w:tcBorders>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p>
        </w:tc>
        <w:tc>
          <w:tcPr>
            <w:tcW w:w="1065" w:type="dxa"/>
            <w:vMerge w:val="continue"/>
            <w:tcBorders>
              <w:left w:val="nil"/>
              <w:bottom w:val="single" w:color="auto" w:sz="4" w:space="0"/>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c>
          <w:tcPr>
            <w:tcW w:w="1170" w:type="dxa"/>
            <w:vMerge w:val="continue"/>
            <w:tcBorders>
              <w:left w:val="single" w:color="auto" w:sz="4" w:space="0"/>
              <w:bottom w:val="single" w:color="auto" w:sz="4" w:space="0"/>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c>
          <w:tcPr>
            <w:tcW w:w="1245"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p>
        </w:tc>
      </w:tr>
      <w:tr>
        <w:tblPrEx>
          <w:tblLayout w:type="fixed"/>
          <w:tblCellMar>
            <w:top w:w="0" w:type="dxa"/>
            <w:left w:w="108" w:type="dxa"/>
            <w:bottom w:w="0" w:type="dxa"/>
            <w:right w:w="108" w:type="dxa"/>
          </w:tblCellMar>
        </w:tblPrEx>
        <w:trPr>
          <w:trHeight w:val="547"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3</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瓶组运输</w:t>
            </w:r>
            <w:r>
              <w:rPr>
                <w:rFonts w:hint="eastAsia" w:ascii="华文细黑" w:hAnsi="华文细黑" w:eastAsia="华文细黑" w:cs="华文细黑"/>
                <w:sz w:val="22"/>
                <w:szCs w:val="22"/>
                <w:lang w:val="en-US" w:eastAsia="zh-CN"/>
              </w:rPr>
              <w:t>及措施</w:t>
            </w:r>
          </w:p>
        </w:tc>
        <w:tc>
          <w:tcPr>
            <w:tcW w:w="1575" w:type="dxa"/>
            <w:tcBorders>
              <w:top w:val="nil"/>
              <w:left w:val="nil"/>
              <w:bottom w:val="single" w:color="auto" w:sz="4" w:space="0"/>
              <w:right w:val="single" w:color="auto" w:sz="4" w:space="0"/>
            </w:tcBorders>
            <w:noWrap w:val="0"/>
            <w:vAlign w:val="center"/>
          </w:tcPr>
          <w:p>
            <w:pPr>
              <w:widowControl/>
              <w:jc w:val="center"/>
              <w:rPr>
                <w:rFonts w:hint="default"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瓶组</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lang w:val="en-US" w:eastAsia="zh-CN"/>
              </w:rPr>
              <w:t>4</w:t>
            </w:r>
          </w:p>
        </w:tc>
        <w:tc>
          <w:tcPr>
            <w:tcW w:w="1065" w:type="dxa"/>
            <w:tcBorders>
              <w:top w:val="single" w:color="auto" w:sz="4" w:space="0"/>
              <w:left w:val="nil"/>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c>
          <w:tcPr>
            <w:tcW w:w="1170" w:type="dxa"/>
            <w:tcBorders>
              <w:top w:val="single" w:color="auto" w:sz="4" w:space="0"/>
              <w:left w:val="single" w:color="auto" w:sz="4" w:space="0"/>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c>
          <w:tcPr>
            <w:tcW w:w="1245" w:type="dxa"/>
            <w:tcBorders>
              <w:top w:val="single" w:color="auto" w:sz="4" w:space="0"/>
              <w:left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rPr>
            </w:pPr>
            <w:r>
              <w:rPr>
                <w:rFonts w:hint="eastAsia" w:ascii="华文细黑" w:hAnsi="华文细黑" w:eastAsia="华文细黑" w:cs="华文细黑"/>
                <w:sz w:val="22"/>
                <w:szCs w:val="22"/>
                <w:lang w:val="en-US" w:eastAsia="zh-CN"/>
              </w:rPr>
              <w:t>含瓶</w:t>
            </w:r>
            <w:r>
              <w:rPr>
                <w:rFonts w:hint="eastAsia" w:ascii="华文细黑" w:hAnsi="华文细黑" w:eastAsia="华文细黑" w:cs="华文细黑"/>
                <w:sz w:val="22"/>
                <w:szCs w:val="22"/>
              </w:rPr>
              <w:t>组保护</w:t>
            </w:r>
          </w:p>
        </w:tc>
      </w:tr>
      <w:tr>
        <w:tblPrEx>
          <w:tblLayout w:type="fixed"/>
          <w:tblCellMar>
            <w:top w:w="0" w:type="dxa"/>
            <w:left w:w="108" w:type="dxa"/>
            <w:bottom w:w="0" w:type="dxa"/>
            <w:right w:w="108" w:type="dxa"/>
          </w:tblCellMar>
        </w:tblPrEx>
        <w:trPr>
          <w:trHeight w:val="397"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4</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拆卸</w:t>
            </w:r>
            <w:r>
              <w:rPr>
                <w:rFonts w:hint="eastAsia" w:ascii="华文细黑" w:hAnsi="华文细黑" w:eastAsia="华文细黑" w:cs="华文细黑"/>
                <w:sz w:val="22"/>
                <w:szCs w:val="22"/>
                <w:lang w:eastAsia="zh-CN"/>
              </w:rPr>
              <w:t>、</w:t>
            </w:r>
            <w:r>
              <w:rPr>
                <w:rFonts w:hint="eastAsia" w:ascii="华文细黑" w:hAnsi="华文细黑" w:eastAsia="华文细黑" w:cs="华文细黑"/>
                <w:sz w:val="22"/>
                <w:szCs w:val="22"/>
              </w:rPr>
              <w:t>安装及</w:t>
            </w:r>
            <w:r>
              <w:rPr>
                <w:rFonts w:hint="eastAsia" w:ascii="华文细黑" w:hAnsi="华文细黑" w:eastAsia="华文细黑" w:cs="华文细黑"/>
                <w:sz w:val="22"/>
                <w:szCs w:val="22"/>
                <w:lang w:val="en-US" w:eastAsia="zh-CN"/>
              </w:rPr>
              <w:t>保险</w:t>
            </w:r>
          </w:p>
        </w:tc>
        <w:tc>
          <w:tcPr>
            <w:tcW w:w="1575"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66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rPr>
              <w:t>项</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sz w:val="22"/>
                <w:szCs w:val="22"/>
                <w:lang w:val="en-US" w:eastAsia="zh-CN"/>
              </w:rPr>
            </w:pPr>
            <w:r>
              <w:rPr>
                <w:rFonts w:hint="eastAsia" w:ascii="华文细黑" w:hAnsi="华文细黑" w:eastAsia="华文细黑" w:cs="华文细黑"/>
                <w:sz w:val="22"/>
                <w:szCs w:val="22"/>
                <w:lang w:val="en-US" w:eastAsia="zh-CN"/>
              </w:rPr>
              <w:t>/</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color w:val="000000"/>
                <w:kern w:val="0"/>
                <w:sz w:val="22"/>
                <w:szCs w:val="22"/>
                <w:lang w:val="en-US" w:eastAsia="zh-CN"/>
              </w:rPr>
            </w:pPr>
            <w:r>
              <w:rPr>
                <w:rFonts w:hint="eastAsia" w:ascii="华文细黑" w:hAnsi="华文细黑" w:eastAsia="华文细黑" w:cs="华文细黑"/>
                <w:color w:val="000000"/>
                <w:kern w:val="0"/>
                <w:sz w:val="22"/>
                <w:szCs w:val="22"/>
                <w:lang w:val="en-US" w:eastAsia="zh-CN"/>
              </w:rPr>
              <w:t>1</w:t>
            </w:r>
          </w:p>
        </w:tc>
        <w:tc>
          <w:tcPr>
            <w:tcW w:w="1065" w:type="dxa"/>
            <w:tcBorders>
              <w:top w:val="single" w:color="auto" w:sz="4" w:space="0"/>
              <w:left w:val="nil"/>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c>
          <w:tcPr>
            <w:tcW w:w="1170" w:type="dxa"/>
            <w:tcBorders>
              <w:top w:val="single" w:color="auto" w:sz="4" w:space="0"/>
              <w:left w:val="single" w:color="auto" w:sz="4" w:space="0"/>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c>
          <w:tcPr>
            <w:tcW w:w="1245" w:type="dxa"/>
            <w:tcBorders>
              <w:top w:val="single" w:color="auto" w:sz="4" w:space="0"/>
              <w:left w:val="single" w:color="auto" w:sz="4" w:space="0"/>
              <w:right w:val="single" w:color="auto" w:sz="4" w:space="0"/>
            </w:tcBorders>
            <w:noWrap w:val="0"/>
            <w:vAlign w:val="center"/>
          </w:tcPr>
          <w:p>
            <w:pPr>
              <w:widowControl/>
              <w:rPr>
                <w:rFonts w:hint="eastAsia" w:ascii="华文细黑" w:hAnsi="华文细黑" w:eastAsia="华文细黑" w:cs="华文细黑"/>
                <w:color w:val="000000"/>
                <w:kern w:val="0"/>
                <w:sz w:val="22"/>
                <w:szCs w:val="22"/>
              </w:rPr>
            </w:pPr>
          </w:p>
        </w:tc>
      </w:tr>
      <w:tr>
        <w:tblPrEx>
          <w:tblLayout w:type="fixed"/>
          <w:tblCellMar>
            <w:top w:w="0" w:type="dxa"/>
            <w:left w:w="108" w:type="dxa"/>
            <w:bottom w:w="0" w:type="dxa"/>
            <w:right w:w="108" w:type="dxa"/>
          </w:tblCellMar>
        </w:tblPrEx>
        <w:trPr>
          <w:trHeight w:val="607" w:hRule="atLeast"/>
        </w:trPr>
        <w:tc>
          <w:tcPr>
            <w:tcW w:w="61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华文细黑" w:hAnsi="华文细黑" w:eastAsia="华文细黑" w:cs="华文细黑"/>
                <w:b/>
                <w:bCs/>
                <w:sz w:val="22"/>
                <w:szCs w:val="22"/>
                <w:lang w:val="en-US" w:eastAsia="zh-CN"/>
              </w:rPr>
            </w:pPr>
            <w:r>
              <w:rPr>
                <w:rFonts w:hint="eastAsia" w:ascii="华文细黑" w:hAnsi="华文细黑" w:eastAsia="华文细黑" w:cs="华文细黑"/>
                <w:b/>
                <w:bCs/>
                <w:sz w:val="22"/>
                <w:szCs w:val="22"/>
                <w:lang w:val="en-US" w:eastAsia="zh-CN"/>
              </w:rPr>
              <w:t>5</w:t>
            </w:r>
          </w:p>
        </w:tc>
        <w:tc>
          <w:tcPr>
            <w:tcW w:w="12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华文细黑" w:hAnsi="华文细黑" w:eastAsia="华文细黑" w:cs="华文细黑"/>
                <w:b/>
                <w:bCs/>
                <w:sz w:val="22"/>
                <w:szCs w:val="22"/>
                <w:lang w:val="en-US" w:eastAsia="zh-CN"/>
              </w:rPr>
            </w:pPr>
            <w:r>
              <w:rPr>
                <w:rFonts w:hint="eastAsia" w:ascii="华文细黑" w:hAnsi="华文细黑" w:eastAsia="华文细黑" w:cs="华文细黑"/>
                <w:b/>
                <w:bCs/>
                <w:sz w:val="22"/>
                <w:szCs w:val="22"/>
                <w:lang w:val="en-US" w:eastAsia="zh-CN"/>
              </w:rPr>
              <w:t>合计</w:t>
            </w:r>
          </w:p>
        </w:tc>
        <w:tc>
          <w:tcPr>
            <w:tcW w:w="3855" w:type="dxa"/>
            <w:gridSpan w:val="4"/>
            <w:tcBorders>
              <w:top w:val="nil"/>
              <w:left w:val="nil"/>
              <w:bottom w:val="single" w:color="auto" w:sz="4" w:space="0"/>
              <w:right w:val="single" w:color="auto" w:sz="4" w:space="0"/>
            </w:tcBorders>
            <w:noWrap w:val="0"/>
            <w:vAlign w:val="center"/>
          </w:tcPr>
          <w:p>
            <w:pPr>
              <w:widowControl/>
              <w:jc w:val="left"/>
              <w:rPr>
                <w:rFonts w:hint="default" w:ascii="华文细黑" w:hAnsi="华文细黑" w:eastAsia="华文细黑" w:cs="华文细黑"/>
                <w:b/>
                <w:bCs/>
                <w:color w:val="000000"/>
                <w:kern w:val="0"/>
                <w:sz w:val="22"/>
                <w:szCs w:val="22"/>
                <w:lang w:val="en-US" w:eastAsia="zh-CN"/>
              </w:rPr>
            </w:pPr>
            <w:r>
              <w:rPr>
                <w:rFonts w:hint="eastAsia" w:ascii="华文细黑" w:hAnsi="华文细黑" w:eastAsia="华文细黑" w:cs="华文细黑"/>
                <w:b/>
                <w:bCs/>
                <w:color w:val="000000"/>
                <w:kern w:val="0"/>
                <w:sz w:val="22"/>
                <w:szCs w:val="22"/>
                <w:lang w:val="en-US" w:eastAsia="zh-CN"/>
              </w:rPr>
              <w:t>大写：</w:t>
            </w:r>
          </w:p>
        </w:tc>
        <w:tc>
          <w:tcPr>
            <w:tcW w:w="2235" w:type="dxa"/>
            <w:gridSpan w:val="2"/>
            <w:tcBorders>
              <w:top w:val="single" w:color="auto" w:sz="4" w:space="0"/>
              <w:left w:val="nil"/>
              <w:right w:val="single" w:color="auto" w:sz="4" w:space="0"/>
            </w:tcBorders>
            <w:noWrap w:val="0"/>
            <w:vAlign w:val="center"/>
          </w:tcPr>
          <w:p>
            <w:pPr>
              <w:widowControl/>
              <w:rPr>
                <w:rFonts w:hint="eastAsia" w:ascii="华文细黑" w:hAnsi="华文细黑" w:eastAsia="华文细黑" w:cs="华文细黑"/>
                <w:b/>
                <w:bCs/>
                <w:color w:val="000000"/>
                <w:kern w:val="0"/>
                <w:sz w:val="22"/>
                <w:szCs w:val="22"/>
              </w:rPr>
            </w:pPr>
          </w:p>
        </w:tc>
        <w:tc>
          <w:tcPr>
            <w:tcW w:w="1245" w:type="dxa"/>
            <w:tcBorders>
              <w:top w:val="single" w:color="auto" w:sz="4" w:space="0"/>
              <w:left w:val="single" w:color="auto" w:sz="4" w:space="0"/>
              <w:right w:val="single" w:color="auto" w:sz="4" w:space="0"/>
            </w:tcBorders>
            <w:noWrap w:val="0"/>
            <w:vAlign w:val="center"/>
          </w:tcPr>
          <w:p>
            <w:pPr>
              <w:widowControl/>
              <w:jc w:val="center"/>
              <w:rPr>
                <w:rFonts w:hint="default" w:ascii="华文细黑" w:hAnsi="华文细黑" w:eastAsia="华文细黑" w:cs="华文细黑"/>
                <w:b/>
                <w:bCs/>
                <w:color w:val="000000"/>
                <w:kern w:val="0"/>
                <w:sz w:val="22"/>
                <w:szCs w:val="22"/>
                <w:lang w:val="en-US" w:eastAsia="zh-CN"/>
              </w:rPr>
            </w:pPr>
            <w:r>
              <w:rPr>
                <w:rFonts w:hint="eastAsia" w:ascii="华文细黑" w:hAnsi="华文细黑" w:eastAsia="华文细黑" w:cs="华文细黑"/>
                <w:b w:val="0"/>
                <w:bCs w:val="0"/>
                <w:color w:val="000000"/>
                <w:kern w:val="0"/>
                <w:sz w:val="22"/>
                <w:szCs w:val="22"/>
                <w:lang w:val="en-US" w:eastAsia="zh-CN"/>
              </w:rPr>
              <w:t>含税金。</w:t>
            </w:r>
          </w:p>
        </w:tc>
      </w:tr>
      <w:tr>
        <w:tblPrEx>
          <w:tblLayout w:type="fixed"/>
          <w:tblCellMar>
            <w:top w:w="0" w:type="dxa"/>
            <w:left w:w="108" w:type="dxa"/>
            <w:bottom w:w="0" w:type="dxa"/>
            <w:right w:w="108" w:type="dxa"/>
          </w:tblCellMar>
        </w:tblPrEx>
        <w:trPr>
          <w:trHeight w:val="1440" w:hRule="atLeast"/>
        </w:trPr>
        <w:tc>
          <w:tcPr>
            <w:tcW w:w="9166" w:type="dxa"/>
            <w:gridSpan w:val="9"/>
            <w:tcBorders>
              <w:top w:val="single" w:color="auto" w:sz="4" w:space="0"/>
              <w:left w:val="single" w:color="auto" w:sz="4" w:space="0"/>
              <w:bottom w:val="single" w:color="auto" w:sz="4" w:space="0"/>
              <w:right w:val="single" w:color="000000" w:sz="4" w:space="0"/>
            </w:tcBorders>
            <w:noWrap w:val="0"/>
            <w:vAlign w:val="top"/>
          </w:tcPr>
          <w:p>
            <w:pPr>
              <w:widowControl/>
              <w:numPr>
                <w:ilvl w:val="0"/>
                <w:numId w:val="0"/>
              </w:numPr>
              <w:rPr>
                <w:rFonts w:hint="eastAsia"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备注：</w:t>
            </w:r>
          </w:p>
          <w:p>
            <w:pPr>
              <w:widowControl/>
              <w:numPr>
                <w:ilvl w:val="0"/>
                <w:numId w:val="4"/>
              </w:numPr>
              <w:ind w:firstLine="440" w:firstLineChars="200"/>
              <w:rPr>
                <w:rFonts w:hint="eastAsia"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报价中包含瓶组装置检测、药剂充装要求中内容、以及充装清单中要求的项目内容。</w:t>
            </w:r>
          </w:p>
          <w:p>
            <w:pPr>
              <w:widowControl/>
              <w:numPr>
                <w:ilvl w:val="0"/>
                <w:numId w:val="4"/>
              </w:numPr>
              <w:ind w:firstLine="440" w:firstLineChars="200"/>
              <w:rPr>
                <w:rFonts w:hint="eastAsia"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报价中包含需第三方配合采用的措施费用，以及保险、税金等费用。</w:t>
            </w:r>
          </w:p>
          <w:p>
            <w:pPr>
              <w:widowControl/>
              <w:numPr>
                <w:ilvl w:val="0"/>
                <w:numId w:val="4"/>
              </w:numPr>
              <w:ind w:firstLine="440" w:firstLineChars="200"/>
              <w:rPr>
                <w:rFonts w:hint="eastAsia" w:ascii="华文细黑" w:hAnsi="华文细黑" w:eastAsia="华文细黑" w:cs="华文细黑"/>
                <w:color w:val="000000"/>
                <w:sz w:val="22"/>
                <w:szCs w:val="22"/>
                <w:lang w:val="en-US" w:eastAsia="zh-CN"/>
              </w:rPr>
            </w:pPr>
            <w:r>
              <w:rPr>
                <w:rFonts w:hint="eastAsia" w:ascii="华文细黑" w:hAnsi="华文细黑" w:eastAsia="华文细黑" w:cs="华文细黑"/>
                <w:color w:val="000000"/>
                <w:sz w:val="22"/>
                <w:szCs w:val="22"/>
                <w:lang w:val="en-US" w:eastAsia="zh-CN"/>
              </w:rPr>
              <w:t>本项目所充装七氟丙烷（HFC227ea）灭火剂纯度≥99.6%，质保期不低于3年。</w:t>
            </w:r>
          </w:p>
          <w:p>
            <w:pPr>
              <w:pStyle w:val="2"/>
              <w:rPr>
                <w:rFonts w:hint="eastAsia"/>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 </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r>
              <w:rPr>
                <w:rFonts w:hint="eastAsia" w:ascii="方正仿宋_GBK" w:hAnsi="方正仿宋_GBK" w:eastAsia="方正仿宋_GBK" w:cs="方正仿宋_GBK"/>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240" w:lineRule="auto"/>
              <w:jc w:val="center"/>
              <w:textAlignment w:val="auto"/>
              <w:rPr>
                <w:rFonts w:hint="eastAsia" w:ascii="方正仿宋_GBK" w:hAnsi="方正仿宋_GBK" w:eastAsia="方正仿宋_GBK" w:cs="方正仿宋_GBK"/>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333333"/>
          <w:kern w:val="0"/>
          <w:sz w:val="24"/>
          <w:szCs w:val="24"/>
        </w:rPr>
        <w:t>投标人</w:t>
      </w:r>
      <w:r>
        <w:rPr>
          <w:rFonts w:hint="eastAsia" w:ascii="方正仿宋_GBK" w:hAnsi="方正仿宋_GBK" w:eastAsia="方正仿宋_GBK" w:cs="方正仿宋_GBK"/>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 期：XXX年XXX月XXX日</w:t>
      </w:r>
    </w:p>
    <w:p>
      <w:pPr>
        <w:widowControl/>
        <w:jc w:val="left"/>
        <w:rPr>
          <w:rFonts w:ascii="宋体" w:hAnsi="宋体" w:eastAsia="宋体" w:cs="宋体"/>
          <w:kern w:val="0"/>
          <w:sz w:val="24"/>
          <w:szCs w:val="24"/>
          <w14:ligatures w14:val="none"/>
        </w:rPr>
      </w:pPr>
      <w:r>
        <w:rPr>
          <w:rFonts w:ascii="Times New Roman" w:hAnsi="Times New Roman" w:eastAsia="宋体" w:cs="Times New Roman"/>
          <w:kern w:val="0"/>
          <w:sz w:val="29"/>
          <w:szCs w:val="29"/>
          <w14:ligatures w14:val="none"/>
        </w:rPr>
        <w:br w:type="textWrapping" w:clear="all"/>
      </w:r>
    </w:p>
    <w:p>
      <w:pPr>
        <w:widowControl/>
        <w:jc w:val="left"/>
        <w:rPr>
          <w:rFonts w:ascii="宋体" w:hAnsi="宋体" w:eastAsia="宋体" w:cs="宋体"/>
          <w:kern w:val="0"/>
          <w:sz w:val="24"/>
          <w:szCs w:val="24"/>
          <w14:ligatures w14:val="none"/>
        </w:rPr>
      </w:pPr>
      <w:r>
        <w:rPr>
          <w:rFonts w:ascii="宋体" w:hAnsi="宋体" w:eastAsia="宋体" w:cs="宋体"/>
          <w:kern w:val="0"/>
          <w:sz w:val="24"/>
          <w:szCs w:val="24"/>
          <w14:ligatures w14:val="none"/>
        </w:rPr>
        <w:br w:type="page"/>
      </w:r>
    </w:p>
    <w:bookmarkEnd w:id="0"/>
    <w:bookmarkEnd w:id="1"/>
    <w:bookmarkEnd w:id="2"/>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仿宋_GBK" w:hAnsi="方正仿宋_GBK" w:eastAsia="方正仿宋_GBK" w:cs="方正仿宋_GBK"/>
          <w:b/>
          <w:bCs/>
          <w:sz w:val="32"/>
          <w:szCs w:val="32"/>
        </w:rPr>
      </w:pPr>
    </w:p>
    <w:p>
      <w:pPr>
        <w:pStyle w:val="2"/>
        <w:rPr>
          <w:rFonts w:hint="eastAsia" w:ascii="方正仿宋_GBK" w:hAnsi="方正仿宋_GBK" w:eastAsia="方正仿宋_GBK" w:cs="方正仿宋_GBK"/>
          <w:b/>
          <w:bCs/>
          <w:sz w:val="32"/>
          <w:szCs w:val="32"/>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p/>
    <w:p>
      <w:pPr>
        <w:pStyle w:val="2"/>
      </w:pPr>
    </w:p>
    <w:p/>
    <w:p>
      <w:pPr>
        <w:pStyle w:val="2"/>
      </w:pPr>
    </w:p>
    <w:p/>
    <w:p>
      <w:pPr>
        <w:pStyle w:val="2"/>
      </w:pPr>
    </w:p>
    <w:p/>
    <w:p>
      <w:pPr>
        <w:pStyle w:val="2"/>
      </w:pPr>
    </w:p>
    <w:p/>
    <w:p>
      <w:pPr>
        <w:pStyle w:val="2"/>
      </w:pPr>
    </w:p>
    <w:p>
      <w:pPr>
        <w:widowControl w:val="0"/>
        <w:spacing w:after="120"/>
        <w:jc w:val="center"/>
        <w:rPr>
          <w:rFonts w:hint="eastAsia" w:ascii="方正小标宋_GBK" w:hAnsi="方正小标宋_GBK" w:eastAsia="方正小标宋_GBK" w:cs="方正小标宋_GBK"/>
          <w:color w:val="000000"/>
          <w:kern w:val="2"/>
          <w:sz w:val="28"/>
          <w:szCs w:val="22"/>
          <w:lang w:val="en-US" w:eastAsia="zh-CN" w:bidi="ar-SA"/>
        </w:rPr>
      </w:pPr>
      <w:r>
        <w:rPr>
          <w:rFonts w:hint="eastAsia" w:ascii="方正小标宋_GBK" w:hAnsi="方正小标宋_GBK" w:eastAsia="方正小标宋_GBK" w:cs="方正小标宋_GBK"/>
          <w:color w:val="000000"/>
          <w:kern w:val="2"/>
          <w:sz w:val="28"/>
          <w:szCs w:val="22"/>
          <w:lang w:val="en-US" w:eastAsia="zh-CN" w:bidi="ar-SA"/>
        </w:rPr>
        <w:t>无围标、串标行为承诺书</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1.不同供应商的投标文件由同一单位或者个人编制；</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2.不同供应商委托同一单位或者个人办理投标事宜；</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3.不同供应商的投标文件载明的项目管理成员或者联系人员为同一人；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4.不同供应商的投标文件异常一致或者投标报价呈规律性差异；</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5.不同供应商的投标文件相互混装；</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6.不同供应商的投标保证金从同一单位或者个人的账户转出；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8.供应商之间事先约定由某一特定供应商中标、成交；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9.供应商之间商定部分供应商放弃参加采购活动或者放弃中标、成交；</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10.法律法规界定的其他围标串标行为。</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投标人法人代表或委托代理人（承诺人） ：</w:t>
      </w:r>
    </w:p>
    <w:p>
      <w:pPr>
        <w:widowControl/>
        <w:shd w:val="clear" w:color="auto" w:fill="FFFFFF"/>
        <w:wordWrap w:val="0"/>
        <w:spacing w:line="500" w:lineRule="exact"/>
        <w:ind w:firstLine="480" w:firstLineChars="200"/>
        <w:jc w:val="left"/>
        <w:rPr>
          <w:rFonts w:hint="eastAsia" w:ascii="方正仿宋_GBK" w:hAnsi="方正仿宋_GBK" w:eastAsia="方正仿宋_GBK" w:cs="方正仿宋_GBK"/>
          <w:color w:val="333333"/>
          <w:kern w:val="0"/>
          <w:sz w:val="24"/>
          <w:szCs w:val="24"/>
        </w:rPr>
      </w:pPr>
      <w:r>
        <w:rPr>
          <w:rFonts w:hint="eastAsia" w:ascii="方正仿宋_GBK" w:hAnsi="方正仿宋_GBK" w:eastAsia="方正仿宋_GBK" w:cs="方正仿宋_GBK"/>
          <w:color w:val="333333"/>
          <w:kern w:val="0"/>
          <w:sz w:val="24"/>
          <w:szCs w:val="24"/>
        </w:rPr>
        <w:t xml:space="preserve">投标人：（公章）  </w:t>
      </w:r>
    </w:p>
    <w:p>
      <w:pPr>
        <w:widowControl/>
        <w:shd w:val="clear" w:color="auto" w:fill="FFFFFF"/>
        <w:wordWrap w:val="0"/>
        <w:spacing w:line="500" w:lineRule="exact"/>
        <w:ind w:firstLine="480" w:firstLineChars="200"/>
        <w:jc w:val="left"/>
      </w:pPr>
      <w:r>
        <w:rPr>
          <w:rFonts w:hint="eastAsia" w:ascii="方正仿宋_GBK" w:hAnsi="方正仿宋_GBK" w:eastAsia="方正仿宋_GBK" w:cs="方正仿宋_GBK"/>
          <w:color w:val="333333"/>
          <w:kern w:val="0"/>
          <w:sz w:val="24"/>
          <w:szCs w:val="24"/>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50983"/>
    <w:multiLevelType w:val="singleLevel"/>
    <w:tmpl w:val="FE750983"/>
    <w:lvl w:ilvl="0" w:tentative="0">
      <w:start w:val="1"/>
      <w:numFmt w:val="decimal"/>
      <w:suff w:val="space"/>
      <w:lvlText w:val="%1."/>
      <w:lvlJc w:val="left"/>
    </w:lvl>
  </w:abstractNum>
  <w:abstractNum w:abstractNumId="1">
    <w:nsid w:val="178B9DA6"/>
    <w:multiLevelType w:val="singleLevel"/>
    <w:tmpl w:val="178B9DA6"/>
    <w:lvl w:ilvl="0" w:tentative="0">
      <w:start w:val="1"/>
      <w:numFmt w:val="decimalEnclosedCircleChinese"/>
      <w:suff w:val="nothing"/>
      <w:lvlText w:val="%1　"/>
      <w:lvlJc w:val="left"/>
      <w:pPr>
        <w:ind w:left="0" w:firstLine="400"/>
      </w:pPr>
      <w:rPr>
        <w:rFonts w:hint="eastAsia"/>
      </w:rPr>
    </w:lvl>
  </w:abstractNum>
  <w:abstractNum w:abstractNumId="2">
    <w:nsid w:val="17D36747"/>
    <w:multiLevelType w:val="singleLevel"/>
    <w:tmpl w:val="17D36747"/>
    <w:lvl w:ilvl="0" w:tentative="0">
      <w:start w:val="1"/>
      <w:numFmt w:val="decimalEnclosedCircleChinese"/>
      <w:suff w:val="nothing"/>
      <w:lvlText w:val="%1　"/>
      <w:lvlJc w:val="left"/>
      <w:pPr>
        <w:ind w:left="0" w:firstLine="400"/>
      </w:pPr>
      <w:rPr>
        <w:rFonts w:hint="eastAsia"/>
      </w:rPr>
    </w:lvl>
  </w:abstractNum>
  <w:abstractNum w:abstractNumId="3">
    <w:nsid w:val="2BCD72E8"/>
    <w:multiLevelType w:val="singleLevel"/>
    <w:tmpl w:val="2BCD72E8"/>
    <w:lvl w:ilvl="0" w:tentative="0">
      <w:start w:val="1"/>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N2Q3YjllYjI5NmI2MjI2NWE0MzI3MWZhMjFhMDkifQ=="/>
  </w:docVars>
  <w:rsids>
    <w:rsidRoot w:val="009B1549"/>
    <w:rsid w:val="00266EDD"/>
    <w:rsid w:val="00325B00"/>
    <w:rsid w:val="009B1549"/>
    <w:rsid w:val="00E0253D"/>
    <w:rsid w:val="00E32248"/>
    <w:rsid w:val="00E80240"/>
    <w:rsid w:val="01672747"/>
    <w:rsid w:val="04D704B4"/>
    <w:rsid w:val="052F2ADB"/>
    <w:rsid w:val="06FA2572"/>
    <w:rsid w:val="075E7D46"/>
    <w:rsid w:val="077F2EEF"/>
    <w:rsid w:val="0B9D574B"/>
    <w:rsid w:val="0BE4132D"/>
    <w:rsid w:val="0C27167A"/>
    <w:rsid w:val="0CC23BC6"/>
    <w:rsid w:val="0DA06BCC"/>
    <w:rsid w:val="0E9321A3"/>
    <w:rsid w:val="0EC90905"/>
    <w:rsid w:val="0F0D621F"/>
    <w:rsid w:val="100B19A5"/>
    <w:rsid w:val="121A5AE8"/>
    <w:rsid w:val="13D45246"/>
    <w:rsid w:val="17C73756"/>
    <w:rsid w:val="18C91698"/>
    <w:rsid w:val="19B54AC4"/>
    <w:rsid w:val="19C44121"/>
    <w:rsid w:val="1A07277D"/>
    <w:rsid w:val="1B9C7A48"/>
    <w:rsid w:val="1D65166C"/>
    <w:rsid w:val="1EE27400"/>
    <w:rsid w:val="1F145694"/>
    <w:rsid w:val="1F6F331C"/>
    <w:rsid w:val="1F9C47F0"/>
    <w:rsid w:val="22294DCE"/>
    <w:rsid w:val="2295362C"/>
    <w:rsid w:val="24C6263E"/>
    <w:rsid w:val="25863CA9"/>
    <w:rsid w:val="2C4B26DA"/>
    <w:rsid w:val="2D9667DC"/>
    <w:rsid w:val="2E077869"/>
    <w:rsid w:val="2E224167"/>
    <w:rsid w:val="2F4F2F8E"/>
    <w:rsid w:val="2FC32380"/>
    <w:rsid w:val="33B866DD"/>
    <w:rsid w:val="34630A19"/>
    <w:rsid w:val="34AD6036"/>
    <w:rsid w:val="35D977CF"/>
    <w:rsid w:val="36F71C89"/>
    <w:rsid w:val="3720182B"/>
    <w:rsid w:val="3A6B7A0D"/>
    <w:rsid w:val="3AE006E4"/>
    <w:rsid w:val="3B730AD8"/>
    <w:rsid w:val="3C9E34C4"/>
    <w:rsid w:val="3D210612"/>
    <w:rsid w:val="4266269B"/>
    <w:rsid w:val="42F82EE2"/>
    <w:rsid w:val="47B74145"/>
    <w:rsid w:val="4AC04D1E"/>
    <w:rsid w:val="4BD65750"/>
    <w:rsid w:val="4C081A5E"/>
    <w:rsid w:val="4C4B2D5D"/>
    <w:rsid w:val="4E813938"/>
    <w:rsid w:val="4F326BD2"/>
    <w:rsid w:val="50CB5EAD"/>
    <w:rsid w:val="55044E5B"/>
    <w:rsid w:val="55243A7A"/>
    <w:rsid w:val="56625ED1"/>
    <w:rsid w:val="592624F0"/>
    <w:rsid w:val="5E5D03CA"/>
    <w:rsid w:val="5ED61C38"/>
    <w:rsid w:val="600B2479"/>
    <w:rsid w:val="605B48FA"/>
    <w:rsid w:val="61DE6235"/>
    <w:rsid w:val="644E44FC"/>
    <w:rsid w:val="64A67A59"/>
    <w:rsid w:val="65006F2E"/>
    <w:rsid w:val="660B3AA0"/>
    <w:rsid w:val="66C94E3D"/>
    <w:rsid w:val="66EA756F"/>
    <w:rsid w:val="68A37079"/>
    <w:rsid w:val="6A713504"/>
    <w:rsid w:val="6D346FDA"/>
    <w:rsid w:val="71897208"/>
    <w:rsid w:val="75DC4CBC"/>
    <w:rsid w:val="769B0FFC"/>
    <w:rsid w:val="79716EA6"/>
    <w:rsid w:val="79F411F6"/>
    <w:rsid w:val="7F927686"/>
    <w:rsid w:val="7F960B81"/>
    <w:rsid w:val="7FBA6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3">
    <w:name w:val="heading 4"/>
    <w:basedOn w:val="1"/>
    <w:next w:val="1"/>
    <w:qFormat/>
    <w:uiPriority w:val="9"/>
    <w:pPr>
      <w:keepNext/>
      <w:spacing w:before="240" w:after="60"/>
      <w:outlineLvl w:val="3"/>
    </w:pPr>
    <w:rPr>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semiHidden/>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styleId="4">
    <w:name w:val="Body Text Indent"/>
    <w:basedOn w:val="1"/>
    <w:semiHidden/>
    <w:unhideWhenUsed/>
    <w:qFormat/>
    <w:uiPriority w:val="99"/>
    <w:pPr>
      <w:spacing w:after="120"/>
      <w:ind w:left="420" w:leftChars="200"/>
    </w:pPr>
  </w:style>
  <w:style w:type="paragraph" w:styleId="5">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table" w:styleId="8">
    <w:name w:val="Table Grid"/>
    <w:basedOn w:val="7"/>
    <w:qFormat/>
    <w:uiPriority w:val="0"/>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Strong"/>
    <w:basedOn w:val="9"/>
    <w:qFormat/>
    <w:uiPriority w:val="22"/>
    <w:rPr>
      <w:b/>
      <w:bCs/>
    </w:rPr>
  </w:style>
  <w:style w:type="paragraph" w:styleId="11">
    <w:name w:val="List Paragraph"/>
    <w:basedOn w:val="1"/>
    <w:qFormat/>
    <w:uiPriority w:val="34"/>
    <w:pPr>
      <w:ind w:firstLine="420" w:firstLineChars="200"/>
    </w:pPr>
  </w:style>
  <w:style w:type="paragraph" w:customStyle="1" w:styleId="12">
    <w:name w:val="WPSOffice手动目录 2"/>
    <w:qFormat/>
    <w:uiPriority w:val="0"/>
    <w:pPr>
      <w:ind w:leftChars="200"/>
    </w:pPr>
    <w:rPr>
      <w:rFonts w:ascii="Calibri" w:hAnsi="Calibri" w:eastAsia="宋体" w:cs="黑体"/>
      <w:sz w:val="20"/>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1338</Words>
  <Characters>1388</Characters>
  <Lines>3</Lines>
  <Paragraphs>1</Paragraphs>
  <TotalTime>3</TotalTime>
  <ScaleCrop>false</ScaleCrop>
  <LinksUpToDate>false</LinksUpToDate>
  <CharactersWithSpaces>1656</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2021-10-08T04:01:00Z</dcterms:created>
  <dc:creator>wyb</dc:creator>
  <cp:lastModifiedBy>昊蔚</cp:lastModifiedBy>
  <cp:lastPrinted>2023-12-25T08:57:00Z</cp:lastPrinted>
  <dcterms:modified xsi:type="dcterms:W3CDTF">2024-05-10T00:25:59Z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C87CFA96EC494AE2A50292F3BADEFAC0_13</vt:lpwstr>
  </property>
</Properties>
</file>