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b/>
          <w:bCs/>
          <w:sz w:val="36"/>
          <w:szCs w:val="36"/>
          <w:lang w:val="en-US" w:eastAsia="zh-CN"/>
        </w:rPr>
        <w:t>设备年度维保服务内要求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提供至少1名专业维保技术人员在院内驻点服务；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提供1套信息化管理系统，至少包含设备台账、维修、保养、计量、巡检、效益分析、报废、预警提醒等全流程管理功能，并支持电脑端、手机端查询和操作功能。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按照设备种类分别提供相适应的维保方案：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245"/>
        <w:gridCol w:w="1605"/>
        <w:gridCol w:w="3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设备种类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维保种类</w:t>
            </w:r>
          </w:p>
        </w:tc>
        <w:tc>
          <w:tcPr>
            <w:tcW w:w="3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方案内容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放射类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技术保</w:t>
            </w:r>
          </w:p>
        </w:tc>
        <w:tc>
          <w:tcPr>
            <w:tcW w:w="3981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①定期巡查（每月）；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②定期维护保养，预防性维修（每季度）；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③故障维修（不含零配件），维修期间提供备用机；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④出具年度分析报告（包括运行情况、维修情况、效益分析等）；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⑤所有的巡查、维保、维修需出具相应的单据并上传系统；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⑥定期培训和应急演练（至少每年一次）。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超声类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技术保</w:t>
            </w:r>
          </w:p>
        </w:tc>
        <w:tc>
          <w:tcPr>
            <w:tcW w:w="398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生命支持类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294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全保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①定期巡查（每月）；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②定期维护保养，预防性维修（每季度）；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③故障维修（含零配件），维修期间提供备用机；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④所有的巡查、维保、维修需出具相应的单据并上传系统；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⑤定期培训和应急演练（至少每年一次）；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⑥确保所有生命支持类设备完好率100%。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381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sz w:val="28"/>
                <w:szCs w:val="28"/>
                <w:vertAlign w:val="baseline"/>
                <w:lang w:val="en-US" w:eastAsia="zh-CN"/>
              </w:rPr>
              <w:t>全保</w:t>
            </w:r>
          </w:p>
        </w:tc>
        <w:tc>
          <w:tcPr>
            <w:tcW w:w="39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①定期巡查（每月）；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②定期维护保养，预防性维修（每半年）；</w:t>
            </w:r>
          </w:p>
          <w:p>
            <w:pPr>
              <w:pStyle w:val="2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③故障维修（含零配件），维修期间提供备用机；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4"/>
                <w:lang w:val="en-US" w:eastAsia="zh-CN" w:bidi="ar-SA"/>
              </w:rPr>
              <w:t>④所有的巡查、维保、维修需出具相应的单据并上传系统。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每月提供上一个月的维保服务报告并提交给设备科；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设备科根据维保方案制定详细的考核标准，每月对维保公司的服务进行考核打分。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ill Sans">
    <w:altName w:val="Arial"/>
    <w:panose1 w:val="00000000000000000000"/>
    <w:charset w:val="00"/>
    <w:family w:val="auto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6C6E"/>
    <w:multiLevelType w:val="singleLevel"/>
    <w:tmpl w:val="01CF6C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4758EB"/>
    <w:rsid w:val="68B60F94"/>
    <w:rsid w:val="707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before="4" w:line="259" w:lineRule="exact"/>
    </w:pPr>
    <w:rPr>
      <w:rFonts w:ascii="Gill Sans" w:hAnsi="Gill Sans"/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2024-04-12T07:55:00Z</dcterms:created>
  <dc:creator>Administrator</dc:creator>
  <cp:lastModifiedBy>昊蔚</cp:lastModifiedBy>
  <dcterms:modified xsi:type="dcterms:W3CDTF">2024-04-12T08:21:07Z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