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1.需求数量：生化免疫流水线1套及试剂。</w:t>
      </w: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2.本项目总共一个包。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p>
      <w:pPr>
        <w:rPr>
          <w:rFonts w:hint="default"/>
          <w:lang w:val="en-US" w:eastAsia="zh-CN"/>
        </w:rPr>
      </w:pPr>
      <w:r>
        <w:rPr>
          <w:rStyle w:val="9"/>
          <w:rFonts w:hint="eastAsia" w:eastAsia="等线"/>
          <w:lang w:val="en-US" w:eastAsia="zh-CN" w:bidi="ar"/>
          <w14:ligatures w14:val="standardContextual"/>
        </w:rPr>
        <w:t>带“</w:t>
      </w:r>
      <w:r>
        <w:rPr>
          <w:rStyle w:val="9"/>
          <w:rFonts w:eastAsia="等线"/>
          <w:lang w:val="en-US" w:eastAsia="zh-CN" w:bidi="ar"/>
          <w14:ligatures w14:val="standardContextual"/>
        </w:rPr>
        <w:t>▲</w:t>
      </w:r>
      <w:r>
        <w:rPr>
          <w:rStyle w:val="9"/>
          <w:rFonts w:hint="eastAsia" w:eastAsia="等线"/>
          <w:lang w:val="en-US" w:eastAsia="zh-CN" w:bidi="ar"/>
          <w14:ligatures w14:val="standardContextual"/>
        </w:rPr>
        <w:t>”条款为重点扣分项</w:t>
      </w:r>
    </w:p>
    <w:tbl>
      <w:tblPr>
        <w:tblW w:w="8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一、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自动化设备整体要求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全套设备包括全自动样品处理系统、全自动生化分析仪、全自动免疫分析仪均为国产设备，并提供相应的备案凭证、注册证等证明材料。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设备须包括自动进样单元，自动出样单元、自动离心单元、自动去盖单元、生化分析仪、免疫分析仪析、轨道、条形码阅读器以及数据信息管理系统，所有功能模块均由轨道连接实现全程自动化。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▲1.3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为增加样本传输的灵活性及优化样本处理流程，流水线功能模块和检测模块间传输均采用单管传输，无需人工补充传输底座。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1.4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整套设备不需要气泵或者空气压缩机提供动力，降低工作环境的噪音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▲1.5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生化分析仪、免疫分析仪为同一品牌，方便后期维护保养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二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样本输入单元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等线"/>
                <w:bdr w:val="none" w:color="auto" w:sz="0" w:space="0"/>
                <w:lang w:val="en-US" w:eastAsia="zh-CN" w:bidi="ar"/>
                <w14:ligatures w14:val="standardContextual"/>
              </w:rPr>
              <w:t>▲</w:t>
            </w:r>
            <w:r>
              <w:rPr>
                <w:rStyle w:val="10"/>
                <w:bdr w:val="none" w:color="auto" w:sz="0" w:space="0"/>
                <w:lang w:val="en-US" w:eastAsia="zh-CN" w:bidi="ar"/>
                <w14:ligatures w14:val="standardContextual"/>
              </w:rPr>
              <w:t>2.1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单个最小进样单元模块纯样本进样处理能力≥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600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管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小时，单个最小进样单元模块容量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500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进样入口能智能识别试管帽颜色、试管规格，对错误样本拒绝上线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2.3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样本前处理系统具备急诊样本插入功能。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2.4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可使用直径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13mm-16mm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和高度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75mm-100mm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多种规格的样本管同时进样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2.5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该模块可以根据需求灵活设置，可同时支持样本管输入和输出。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三、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去盖单元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去盖单元一套，能对识别后的样本自动去盖，能去除多种类型的试管盖。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  <w14:ligatures w14:val="standardContextual"/>
              </w:rPr>
              <w:t>▲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单个最小去盖单元模块去盖速度≥600样本/小时。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3.3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  <w14:ligatures w14:val="standardContextual"/>
              </w:rPr>
              <w:t>去盖单元可以根据需求进行扩展，最大模块连接数量</w:t>
            </w:r>
            <w:r>
              <w:rPr>
                <w:rStyle w:val="14"/>
                <w:bdr w:val="none" w:color="auto" w:sz="0" w:space="0"/>
                <w:lang w:val="en-US" w:eastAsia="zh-CN" w:bidi="ar"/>
                <w14:ligatures w14:val="standardContextual"/>
              </w:rPr>
              <w:t>≥</w:t>
            </w:r>
            <w:r>
              <w:rPr>
                <w:rStyle w:val="15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  <w:r>
              <w:rPr>
                <w:rStyle w:val="13"/>
                <w:bdr w:val="none" w:color="auto" w:sz="0" w:space="0"/>
                <w:lang w:val="en-US" w:eastAsia="zh-CN" w:bidi="ar"/>
                <w14:ligatures w14:val="standardContextual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四、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离心单元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配置在线低温离心机1台，单台离心机速度≥300管/小时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▲4.2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离心单元可以根据需求设置离心时间及离心速度，最大离心速度≥4000rpm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4.3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离心机可自定义设置待离心样本等待间隔时间，提高运行效率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▲4.4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单台离心机单次离心样本≥80个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4.5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  <w14:ligatures w14:val="standardContextual"/>
              </w:rPr>
              <w:t>离心模块可以根据需求进行扩展，最大模块连接数量</w:t>
            </w:r>
            <w:r>
              <w:rPr>
                <w:rStyle w:val="14"/>
                <w:bdr w:val="none" w:color="auto" w:sz="0" w:space="0"/>
                <w:lang w:val="en-US" w:eastAsia="zh-CN" w:bidi="ar"/>
                <w14:ligatures w14:val="standardContextual"/>
              </w:rPr>
              <w:t>≥</w:t>
            </w:r>
            <w:r>
              <w:rPr>
                <w:rStyle w:val="15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  <w:r>
              <w:rPr>
                <w:rStyle w:val="13"/>
                <w:bdr w:val="none" w:color="auto" w:sz="0" w:space="0"/>
                <w:lang w:val="en-US" w:eastAsia="zh-CN" w:bidi="ar"/>
                <w14:ligatures w14:val="standardContextual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六、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轨道传输系统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▲6.1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流水线功能模块和检测模块间传输均采用单管传输，（无需人工补充传输底座），并通过RFID技术追踪定位。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  <w14:ligatures w14:val="standardContextual"/>
              </w:rPr>
              <w:t>主传输轨道</w:t>
            </w:r>
            <w:r>
              <w:rPr>
                <w:rStyle w:val="14"/>
                <w:bdr w:val="none" w:color="auto" w:sz="0" w:space="0"/>
                <w:lang w:val="en-US" w:eastAsia="zh-CN" w:bidi="ar"/>
                <w14:ligatures w14:val="standardContextual"/>
              </w:rPr>
              <w:t>≥两</w:t>
            </w:r>
            <w:r>
              <w:rPr>
                <w:rStyle w:val="13"/>
                <w:bdr w:val="none" w:color="auto" w:sz="0" w:space="0"/>
                <w:lang w:val="en-US" w:eastAsia="zh-CN" w:bidi="ar"/>
                <w14:ligatures w14:val="standardContextual"/>
              </w:rPr>
              <w:t>轨道设计，急诊样本优先处理。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七、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样本输出单元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  <w14:ligatures w14:val="standardContextual"/>
              </w:rPr>
              <w:t>▲</w:t>
            </w:r>
            <w:r>
              <w:rPr>
                <w:rStyle w:val="16"/>
                <w:bdr w:val="none" w:color="auto" w:sz="0" w:space="0"/>
                <w:lang w:val="en-US" w:eastAsia="zh-CN" w:bidi="ar"/>
                <w14:ligatures w14:val="standardContextual"/>
              </w:rPr>
              <w:t>7.1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单个最小输出单元模块纯样本出样处理能力≥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600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管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小时，单个最小出样单元模块容量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500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输出单元的样品管无需人工干预，可自动调取样品管到自动化流水线上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7.3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  <w14:ligatures w14:val="standardContextual"/>
              </w:rPr>
              <w:t>输出单元可以根据需求进行扩展，最大模块连接数量</w:t>
            </w:r>
            <w:r>
              <w:rPr>
                <w:rStyle w:val="14"/>
                <w:bdr w:val="none" w:color="auto" w:sz="0" w:space="0"/>
                <w:lang w:val="en-US" w:eastAsia="zh-CN" w:bidi="ar"/>
                <w14:ligatures w14:val="standardContextual"/>
              </w:rPr>
              <w:t>≥</w:t>
            </w:r>
            <w:r>
              <w:rPr>
                <w:rStyle w:val="15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  <w:r>
              <w:rPr>
                <w:rStyle w:val="13"/>
                <w:bdr w:val="none" w:color="auto" w:sz="0" w:space="0"/>
                <w:lang w:val="en-US" w:eastAsia="zh-CN" w:bidi="ar"/>
                <w14:ligatures w14:val="standardContextual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八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免疫分析仪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▲8.1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最小检测单元测试速度≥400测试/小时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▲8.2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样本探针无需抛弃型加样头，减少额外消耗品及降低成本。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8.3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检测原理：化学发光或电化学发光。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▲8.4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最小检测模块试剂位≥48个（有冷藏功能）。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8.5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可不停机加载试剂。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8.6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仪器运行期间可任意添加各种缓冲液、反应管。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8.7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最短反应时间≤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8.8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最小样本体积≤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  <w:r>
              <w:rPr>
                <w:rStyle w:val="11"/>
                <w:bdr w:val="none" w:color="auto" w:sz="0" w:space="0"/>
                <w:lang w:val="en-US" w:eastAsia="zh-CN" w:bidi="ar"/>
                <w14:ligatures w14:val="standardContextual"/>
              </w:rPr>
              <w:t>μ</w:t>
            </w:r>
            <w:r>
              <w:rPr>
                <w:rStyle w:val="12"/>
                <w:bdr w:val="none" w:color="auto" w:sz="0" w:space="0"/>
                <w:lang w:val="en-US" w:eastAsia="zh-CN" w:bidi="ar"/>
                <w14:ligatures w14:val="standardContextual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8.9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使用六点校准，适合不同实验室环境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十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生化分析仪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▲9.1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模块组合式生化分析仪，最小检测模块光学速度≥2000测试/小时，最小检测模块在线离子速度≥900测试/小时。总测试速度2900测试/小时。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▲9.2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模块化的设计，具有较强的扩展能力，单个接口可连接≥4个比色模块。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9.3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试剂系统可提供全套同品牌原厂试剂、校准品和质控品，检测试剂需具有国际规定等级的可溯源性文件及不确定度，试剂性能评估等实验室认可文件；同时能开放试剂18个通道（全开放），满足选择其他测试项目的需求，满足任意选择不同厂家试剂使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9.4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生化仪模块配备专用的急诊样品轨道，并急诊位≥10个，可优先处理急诊标本。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▲9.5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比色杯为石英玻璃杯。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▲9.6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比色控温方式：采用干式孵育、恒温槽固体直热或者油浴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9.7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检测方法学包括：终点法、速率法、固定时间法、比色法、比浊法、乳胶凝集法、间接离子选择电极法。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9.8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单测试最小反应总体积：≤80μl；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▲9.9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超微量采样技术，单测试样本量≤1.0uL（0.1 uL步进）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9.10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波长范围:340-800nm，分析波长≥13个，单双波长测试。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9.11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比色控温要求：具备精确恒温控制系统，温度精确控制在37℃±0.1℃。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▲9.12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R1和R2最小试剂体积均：≤10uL（1 uL步进）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十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数据管理系统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能够集中控制并管理在线仪器，可实时监控检测标本实时状态和标本位置以及仪器运行状态。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免费开放数据接口并能与本院LIS和HIS系统连接，提供数据接口文档。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10.3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具有结果自动审核功能，能够结合仪器报警、测试项目正常范围、质控结果、差值校验以及客户自定义的规则来进行多规则的结果自动审核，并建立危急值管理。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10.4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具有样本TAT时间实时监控功能及时提醒TAT超时样本及其状态。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十一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产筛配套试剂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11.1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检测原理：微粒子化学发光技术，AMPPD作发光底物。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  <w14:ligatures w14:val="standardContextual"/>
              </w:rPr>
              <w:t>▲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11.2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检测项目：妊娠相关蛋白A、甲胎蛋白、游离雌三醇、人绒毛膜促性腺激素及β亚单位、抑制素A（提供试剂注册证）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  <w14:ligatures w14:val="standardContextual"/>
              </w:rPr>
              <w:t>▲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11.3</w:t>
            </w:r>
          </w:p>
        </w:tc>
        <w:tc>
          <w:tcPr>
            <w:tcW w:w="7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提供配套的孕期标记物产前筛查软件，包括孕早期和孕中期四联唐氏筛查模式，中国人数据库，提供注册证。</w:t>
            </w:r>
          </w:p>
        </w:tc>
      </w:tr>
    </w:tbl>
    <w:p>
      <w:pPr>
        <w:pStyle w:val="2"/>
        <w:rPr>
          <w:rFonts w:hint="default" w:eastAsia="方正仿宋_GBK"/>
          <w:lang w:val="en-US" w:eastAsia="zh-CN"/>
        </w:rPr>
      </w:pP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4.其他要求：提供其配套试剂及当月挂网价的清单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3B38F5"/>
    <w:rsid w:val="009B1549"/>
    <w:rsid w:val="00E0253D"/>
    <w:rsid w:val="00E32248"/>
    <w:rsid w:val="00E80240"/>
    <w:rsid w:val="01672747"/>
    <w:rsid w:val="03D31937"/>
    <w:rsid w:val="04D704B4"/>
    <w:rsid w:val="06FA2572"/>
    <w:rsid w:val="075E7D46"/>
    <w:rsid w:val="077F2EEF"/>
    <w:rsid w:val="0BE4132D"/>
    <w:rsid w:val="0DA06BCC"/>
    <w:rsid w:val="0E9321A3"/>
    <w:rsid w:val="0F0D621F"/>
    <w:rsid w:val="121A5AE8"/>
    <w:rsid w:val="13D45246"/>
    <w:rsid w:val="17C73756"/>
    <w:rsid w:val="18817FFD"/>
    <w:rsid w:val="19B54AC4"/>
    <w:rsid w:val="19C44121"/>
    <w:rsid w:val="1A07277D"/>
    <w:rsid w:val="1AF80897"/>
    <w:rsid w:val="1CC3178F"/>
    <w:rsid w:val="1EE27400"/>
    <w:rsid w:val="1F145694"/>
    <w:rsid w:val="1F6F331C"/>
    <w:rsid w:val="1F9C47F0"/>
    <w:rsid w:val="1FDB71C0"/>
    <w:rsid w:val="20DF572E"/>
    <w:rsid w:val="253D1278"/>
    <w:rsid w:val="25863CA9"/>
    <w:rsid w:val="26F44A09"/>
    <w:rsid w:val="29567748"/>
    <w:rsid w:val="2AB729F0"/>
    <w:rsid w:val="2C4B26DA"/>
    <w:rsid w:val="2DB57018"/>
    <w:rsid w:val="2E077869"/>
    <w:rsid w:val="2E224167"/>
    <w:rsid w:val="2F4F2F8E"/>
    <w:rsid w:val="2FC32380"/>
    <w:rsid w:val="2FC51F20"/>
    <w:rsid w:val="3297147A"/>
    <w:rsid w:val="34630A19"/>
    <w:rsid w:val="3648119E"/>
    <w:rsid w:val="36DB0596"/>
    <w:rsid w:val="3720182B"/>
    <w:rsid w:val="37CB361A"/>
    <w:rsid w:val="3A6B7A0D"/>
    <w:rsid w:val="3A9C6BE4"/>
    <w:rsid w:val="3AFC2305"/>
    <w:rsid w:val="3D210612"/>
    <w:rsid w:val="3DEA3D10"/>
    <w:rsid w:val="409E1EAF"/>
    <w:rsid w:val="4266269B"/>
    <w:rsid w:val="47B74145"/>
    <w:rsid w:val="4A541203"/>
    <w:rsid w:val="4AC04D1E"/>
    <w:rsid w:val="4C4B2D5D"/>
    <w:rsid w:val="4E813938"/>
    <w:rsid w:val="4F8473EB"/>
    <w:rsid w:val="50CB5EAD"/>
    <w:rsid w:val="55243A7A"/>
    <w:rsid w:val="56625ED1"/>
    <w:rsid w:val="57E84B56"/>
    <w:rsid w:val="5E5D03CA"/>
    <w:rsid w:val="5E6A7A9B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6FA60DA"/>
    <w:rsid w:val="67B50B6D"/>
    <w:rsid w:val="68616F99"/>
    <w:rsid w:val="68A37079"/>
    <w:rsid w:val="68C16975"/>
    <w:rsid w:val="69CA2330"/>
    <w:rsid w:val="6A713504"/>
    <w:rsid w:val="6B1D61BB"/>
    <w:rsid w:val="6D346FDA"/>
    <w:rsid w:val="70B45B12"/>
    <w:rsid w:val="7391407A"/>
    <w:rsid w:val="740A559A"/>
    <w:rsid w:val="75DC4CBC"/>
    <w:rsid w:val="76AB3735"/>
    <w:rsid w:val="779B29AE"/>
    <w:rsid w:val="79716EA6"/>
    <w:rsid w:val="79F411F6"/>
    <w:rsid w:val="7BD4147B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1"/>
    <w:basedOn w:val="6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31"/>
    <w:basedOn w:val="6"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6"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4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61"/>
    <w:basedOn w:val="6"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16">
    <w:name w:val="font5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0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2023-12-05T08:08:00Z</cp:lastPrinted>
  <dcterms:modified xsi:type="dcterms:W3CDTF">2024-03-14T08:26:27Z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