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spacing w:line="360" w:lineRule="auto"/>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一、需求概况：全院区2栋楼，1号楼9层（负一层到八层），2号楼8层（负三层到五层）。建筑面积约50000平方米。最高限价：2万/年。</w:t>
      </w:r>
    </w:p>
    <w:p>
      <w:p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防治对象：鼠、蚊、蝇、蟑螂</w:t>
      </w:r>
      <w:r>
        <w:rPr>
          <w:rFonts w:hint="eastAsia" w:ascii="仿宋_GB2312" w:eastAsia="仿宋_GB2312"/>
          <w:color w:val="auto"/>
          <w:sz w:val="32"/>
          <w:szCs w:val="32"/>
          <w:lang w:eastAsia="zh-CN"/>
        </w:rPr>
        <w:t>、白蚁等有害动物。</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本项目为包干价</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，附件内容作为本项目的比选依据，包含但不限于上述内容，如有遗漏请自行考虑。</w:t>
      </w:r>
    </w:p>
    <w:p>
      <w:pPr>
        <w:spacing w:line="360" w:lineRule="auto"/>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lang w:val="en-US" w:eastAsia="zh-CN"/>
        </w:rPr>
        <w:t>四</w:t>
      </w:r>
      <w:r>
        <w:rPr>
          <w:rFonts w:hint="eastAsia" w:ascii="仿宋_GB2312" w:eastAsia="仿宋_GB2312"/>
          <w:b/>
          <w:bCs/>
          <w:color w:val="auto"/>
          <w:sz w:val="32"/>
          <w:szCs w:val="32"/>
          <w:lang w:eastAsia="zh-CN"/>
        </w:rPr>
        <w:t>、服务要求</w:t>
      </w:r>
    </w:p>
    <w:p>
      <w:pPr>
        <w:spacing w:line="360" w:lineRule="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本项</w:t>
      </w:r>
      <w:r>
        <w:rPr>
          <w:rFonts w:hint="eastAsia" w:ascii="仿宋_GB2312" w:eastAsia="仿宋_GB2312"/>
          <w:color w:val="auto"/>
          <w:sz w:val="32"/>
          <w:szCs w:val="32"/>
          <w:lang w:eastAsia="zh-CN"/>
        </w:rPr>
        <w:t>招标方应符合下列要求：</w:t>
      </w:r>
    </w:p>
    <w:tbl>
      <w:tblPr>
        <w:tblStyle w:val="6"/>
        <w:tblW w:w="99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9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jc w:val="center"/>
        </w:trPr>
        <w:tc>
          <w:tcPr>
            <w:tcW w:w="9955" w:type="dxa"/>
            <w:gridSpan w:val="2"/>
            <w:shd w:val="clear" w:color="auto" w:fill="BEBEBE"/>
            <w:noWrap w:val="0"/>
            <w:vAlign w:val="center"/>
          </w:tcPr>
          <w:p>
            <w:pPr>
              <w:pStyle w:val="9"/>
              <w:tabs>
                <w:tab w:val="right" w:leader="dot" w:pos="9740"/>
              </w:tabs>
              <w:spacing w:line="480" w:lineRule="auto"/>
              <w:ind w:left="420" w:leftChars="200"/>
              <w:rPr>
                <w:color w:val="auto"/>
                <w:kern w:val="2"/>
              </w:rPr>
            </w:pPr>
          </w:p>
          <w:p>
            <w:pPr>
              <w:spacing w:line="360" w:lineRule="auto"/>
              <w:jc w:val="center"/>
              <w:rPr>
                <w:rFonts w:ascii="黑体" w:hAnsi="黑体" w:eastAsia="黑体"/>
                <w:color w:val="auto"/>
                <w:kern w:val="2"/>
                <w:sz w:val="21"/>
                <w:szCs w:val="21"/>
              </w:rPr>
            </w:pPr>
            <w:r>
              <w:rPr>
                <w:rFonts w:hint="eastAsia" w:ascii="黑体" w:hAnsi="黑体" w:eastAsia="黑体"/>
                <w:color w:val="auto"/>
                <w:kern w:val="2"/>
                <w:sz w:val="21"/>
                <w:szCs w:val="21"/>
              </w:rPr>
              <w:t>本方案的制定完全符合以下各类“国家标准”中规定的技术参数和作业规程要求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2" w:hRule="atLeast"/>
          <w:jc w:val="center"/>
        </w:trPr>
        <w:tc>
          <w:tcPr>
            <w:tcW w:w="9955" w:type="dxa"/>
            <w:gridSpan w:val="2"/>
            <w:shd w:val="clear" w:color="auto" w:fill="FFFFFF"/>
            <w:noWrap w:val="0"/>
            <w:vAlign w:val="top"/>
          </w:tcPr>
          <w:p>
            <w:pPr>
              <w:spacing w:line="360" w:lineRule="auto"/>
              <w:jc w:val="center"/>
              <w:rPr>
                <w:rFonts w:ascii="宋体" w:hAnsi="宋体"/>
                <w:color w:val="auto"/>
                <w:kern w:val="2"/>
                <w:sz w:val="21"/>
                <w:szCs w:val="21"/>
              </w:rPr>
            </w:pPr>
            <w:r>
              <w:rPr>
                <w:rFonts w:ascii="宋体" w:hAnsi="宋体" w:eastAsia="宋体" w:cs="黑体"/>
                <w:color w:val="auto"/>
                <w:kern w:val="2"/>
                <w:sz w:val="21"/>
                <w:szCs w:val="21"/>
                <w:lang w:val="en-US" w:eastAsia="zh-CN" w:bidi="ar-SA"/>
              </w:rPr>
              <w:drawing>
                <wp:inline distT="0" distB="0" distL="114300" distR="114300">
                  <wp:extent cx="1200150" cy="1200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200150" cy="1200150"/>
                          </a:xfrm>
                          <a:prstGeom prst="rect">
                            <a:avLst/>
                          </a:prstGeom>
                          <a:noFill/>
                          <a:ln>
                            <a:noFill/>
                          </a:ln>
                        </pic:spPr>
                      </pic:pic>
                    </a:graphicData>
                  </a:graphic>
                </wp:inline>
              </w:drawing>
            </w:r>
          </w:p>
          <w:p>
            <w:pPr>
              <w:spacing w:line="360" w:lineRule="auto"/>
              <w:jc w:val="center"/>
              <w:rPr>
                <w:rFonts w:ascii="宋体" w:hAnsi="宋体"/>
                <w:color w:val="auto"/>
                <w:kern w:val="2"/>
                <w:sz w:val="21"/>
                <w:szCs w:val="21"/>
              </w:rPr>
            </w:pPr>
            <w:r>
              <w:rPr>
                <w:rFonts w:hint="eastAsia" w:ascii="宋体" w:hAnsi="宋体"/>
                <w:color w:val="auto"/>
                <w:kern w:val="2"/>
                <w:sz w:val="21"/>
                <w:szCs w:val="21"/>
              </w:rPr>
              <w:t>中华人民共和国卫生部</w:t>
            </w:r>
          </w:p>
          <w:p>
            <w:pPr>
              <w:spacing w:line="360" w:lineRule="auto"/>
              <w:jc w:val="center"/>
              <w:rPr>
                <w:rFonts w:ascii="宋体" w:hAnsi="宋体"/>
                <w:color w:val="auto"/>
                <w:kern w:val="2"/>
                <w:sz w:val="21"/>
                <w:szCs w:val="21"/>
              </w:rPr>
            </w:pPr>
            <w:r>
              <w:rPr>
                <w:rFonts w:hint="eastAsia" w:ascii="宋体" w:hAnsi="宋体"/>
                <w:color w:val="auto"/>
                <w:kern w:val="2"/>
                <w:sz w:val="21"/>
                <w:szCs w:val="21"/>
              </w:rPr>
              <w:t>中国国家标准化管理委员</w:t>
            </w:r>
          </w:p>
          <w:p>
            <w:pPr>
              <w:spacing w:line="360" w:lineRule="auto"/>
              <w:jc w:val="center"/>
              <w:rPr>
                <w:rFonts w:ascii="宋体" w:hAnsi="宋体"/>
                <w:color w:val="auto"/>
                <w:kern w:val="2"/>
                <w:sz w:val="21"/>
                <w:szCs w:val="21"/>
              </w:rPr>
            </w:pPr>
            <w:r>
              <w:rPr>
                <w:rFonts w:hint="eastAsia" w:ascii="宋体" w:hAnsi="宋体"/>
                <w:color w:val="auto"/>
                <w:kern w:val="2"/>
                <w:sz w:val="21"/>
                <w:szCs w:val="21"/>
              </w:rPr>
              <w:t>中华人民共和国国家标质量监督检验检疫总局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center"/>
              <w:rPr>
                <w:rFonts w:ascii="宋体" w:hAnsi="宋体"/>
                <w:color w:val="auto"/>
                <w:kern w:val="2"/>
                <w:sz w:val="21"/>
                <w:szCs w:val="21"/>
              </w:rPr>
            </w:pPr>
            <w:r>
              <w:rPr>
                <w:rFonts w:hint="eastAsia" w:ascii="宋体" w:hAnsi="宋体"/>
                <w:color w:val="auto"/>
                <w:kern w:val="2"/>
                <w:sz w:val="21"/>
                <w:szCs w:val="21"/>
              </w:rPr>
              <w:t>序号</w:t>
            </w:r>
          </w:p>
        </w:tc>
        <w:tc>
          <w:tcPr>
            <w:tcW w:w="9001" w:type="dxa"/>
            <w:noWrap w:val="0"/>
            <w:vAlign w:val="top"/>
          </w:tcPr>
          <w:p>
            <w:pPr>
              <w:spacing w:line="360" w:lineRule="auto"/>
              <w:jc w:val="center"/>
              <w:rPr>
                <w:rFonts w:ascii="宋体" w:hAnsi="宋体"/>
                <w:color w:val="auto"/>
                <w:kern w:val="2"/>
                <w:sz w:val="21"/>
                <w:szCs w:val="21"/>
              </w:rPr>
            </w:pPr>
            <w:r>
              <w:rPr>
                <w:rFonts w:hint="eastAsia" w:ascii="宋体" w:hAnsi="宋体"/>
                <w:color w:val="auto"/>
                <w:kern w:val="2"/>
                <w:sz w:val="21"/>
                <w:szCs w:val="21"/>
              </w:rPr>
              <w:t>国  标  条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27770</w:t>
            </w:r>
            <w:r>
              <w:rPr>
                <w:rFonts w:ascii="宋体" w:hAnsi="宋体"/>
                <w:color w:val="auto"/>
                <w:kern w:val="2"/>
                <w:sz w:val="21"/>
                <w:szCs w:val="21"/>
              </w:rPr>
              <w:t>—</w:t>
            </w:r>
            <w:r>
              <w:rPr>
                <w:rFonts w:hint="eastAsia" w:ascii="宋体" w:hAnsi="宋体"/>
                <w:color w:val="auto"/>
                <w:kern w:val="2"/>
                <w:sz w:val="21"/>
                <w:szCs w:val="21"/>
              </w:rPr>
              <w:t>2011     病媒生物密度控制水平            鼠类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2</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27771</w:t>
            </w:r>
            <w:r>
              <w:rPr>
                <w:rFonts w:ascii="宋体" w:hAnsi="宋体"/>
                <w:color w:val="auto"/>
                <w:kern w:val="2"/>
                <w:sz w:val="21"/>
                <w:szCs w:val="21"/>
              </w:rPr>
              <w:t>—</w:t>
            </w:r>
            <w:r>
              <w:rPr>
                <w:rFonts w:hint="eastAsia" w:ascii="宋体" w:hAnsi="宋体"/>
                <w:color w:val="auto"/>
                <w:kern w:val="2"/>
                <w:sz w:val="21"/>
                <w:szCs w:val="21"/>
              </w:rPr>
              <w:t>2011     病媒生物密度控制水平            蚊虫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3</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27772</w:t>
            </w:r>
            <w:r>
              <w:rPr>
                <w:rFonts w:ascii="宋体" w:hAnsi="宋体"/>
                <w:color w:val="auto"/>
                <w:kern w:val="2"/>
                <w:sz w:val="21"/>
                <w:szCs w:val="21"/>
              </w:rPr>
              <w:t>—</w:t>
            </w:r>
            <w:r>
              <w:rPr>
                <w:rFonts w:hint="eastAsia" w:ascii="宋体" w:hAnsi="宋体"/>
                <w:color w:val="auto"/>
                <w:kern w:val="2"/>
                <w:sz w:val="21"/>
                <w:szCs w:val="21"/>
              </w:rPr>
              <w:t>2011     病媒生物密度控制水平            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4</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27773</w:t>
            </w:r>
            <w:r>
              <w:rPr>
                <w:rFonts w:ascii="宋体" w:hAnsi="宋体"/>
                <w:color w:val="auto"/>
                <w:kern w:val="2"/>
                <w:sz w:val="21"/>
                <w:szCs w:val="21"/>
              </w:rPr>
              <w:t>—</w:t>
            </w:r>
            <w:r>
              <w:rPr>
                <w:rFonts w:hint="eastAsia" w:ascii="宋体" w:hAnsi="宋体"/>
                <w:color w:val="auto"/>
                <w:kern w:val="2"/>
                <w:sz w:val="21"/>
                <w:szCs w:val="21"/>
              </w:rPr>
              <w:t>2011     病媒生物密度控制水平            蜚蠊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5</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27776</w:t>
            </w:r>
            <w:r>
              <w:rPr>
                <w:rFonts w:ascii="宋体" w:hAnsi="宋体"/>
                <w:color w:val="auto"/>
                <w:kern w:val="2"/>
                <w:sz w:val="21"/>
                <w:szCs w:val="21"/>
              </w:rPr>
              <w:t>—</w:t>
            </w:r>
            <w:r>
              <w:rPr>
                <w:rFonts w:hint="eastAsia" w:ascii="宋体" w:hAnsi="宋体"/>
                <w:color w:val="auto"/>
                <w:kern w:val="2"/>
                <w:sz w:val="21"/>
                <w:szCs w:val="21"/>
              </w:rPr>
              <w:t>2011     病媒生物综合管理技术规范        食品生产加工企业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6</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27777</w:t>
            </w:r>
            <w:r>
              <w:rPr>
                <w:rFonts w:ascii="宋体" w:hAnsi="宋体"/>
                <w:color w:val="auto"/>
                <w:kern w:val="2"/>
                <w:sz w:val="21"/>
                <w:szCs w:val="21"/>
              </w:rPr>
              <w:t>—</w:t>
            </w:r>
            <w:r>
              <w:rPr>
                <w:rFonts w:hint="eastAsia" w:ascii="宋体" w:hAnsi="宋体"/>
                <w:color w:val="auto"/>
                <w:kern w:val="2"/>
                <w:sz w:val="21"/>
                <w:szCs w:val="21"/>
              </w:rPr>
              <w:t>2011     杀鼠剂安全使用准则              抗凝血剂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7</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27779</w:t>
            </w:r>
            <w:r>
              <w:rPr>
                <w:rFonts w:ascii="宋体" w:hAnsi="宋体"/>
                <w:color w:val="auto"/>
                <w:kern w:val="2"/>
                <w:sz w:val="21"/>
                <w:szCs w:val="21"/>
              </w:rPr>
              <w:t>—</w:t>
            </w:r>
            <w:r>
              <w:rPr>
                <w:rFonts w:hint="eastAsia" w:ascii="宋体" w:hAnsi="宋体"/>
                <w:color w:val="auto"/>
                <w:kern w:val="2"/>
                <w:sz w:val="21"/>
                <w:szCs w:val="21"/>
              </w:rPr>
              <w:t>2011     卫生杀虫剂安全使用准则          拟除虫菊酯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8</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31712</w:t>
            </w:r>
            <w:r>
              <w:rPr>
                <w:rFonts w:ascii="宋体" w:hAnsi="宋体"/>
                <w:color w:val="auto"/>
                <w:kern w:val="2"/>
                <w:sz w:val="21"/>
                <w:szCs w:val="21"/>
              </w:rPr>
              <w:t>—</w:t>
            </w:r>
            <w:r>
              <w:rPr>
                <w:rFonts w:hint="eastAsia" w:ascii="宋体" w:hAnsi="宋体"/>
                <w:color w:val="auto"/>
                <w:kern w:val="2"/>
                <w:sz w:val="21"/>
                <w:szCs w:val="21"/>
              </w:rPr>
              <w:t>2015     病媒生物综合管理技术规范        环境治理  鼠类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9</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31714</w:t>
            </w:r>
            <w:r>
              <w:rPr>
                <w:rFonts w:ascii="宋体" w:hAnsi="宋体"/>
                <w:color w:val="auto"/>
                <w:kern w:val="2"/>
                <w:sz w:val="21"/>
                <w:szCs w:val="21"/>
              </w:rPr>
              <w:t>—</w:t>
            </w:r>
            <w:r>
              <w:rPr>
                <w:rFonts w:hint="eastAsia" w:ascii="宋体" w:hAnsi="宋体"/>
                <w:color w:val="auto"/>
                <w:kern w:val="2"/>
                <w:sz w:val="21"/>
                <w:szCs w:val="21"/>
              </w:rPr>
              <w:t>2015     病媒生物化学防治技术指南        空间喷雾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10</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31715</w:t>
            </w:r>
            <w:r>
              <w:rPr>
                <w:rFonts w:ascii="宋体" w:hAnsi="宋体"/>
                <w:color w:val="auto"/>
                <w:kern w:val="2"/>
                <w:sz w:val="21"/>
                <w:szCs w:val="21"/>
              </w:rPr>
              <w:t>—</w:t>
            </w:r>
            <w:r>
              <w:rPr>
                <w:rFonts w:hint="eastAsia" w:ascii="宋体" w:hAnsi="宋体"/>
                <w:color w:val="auto"/>
                <w:kern w:val="2"/>
                <w:sz w:val="21"/>
                <w:szCs w:val="21"/>
              </w:rPr>
              <w:t>2005     病媒生物化学防治技术指南        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11</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31718</w:t>
            </w:r>
            <w:r>
              <w:rPr>
                <w:rFonts w:ascii="宋体" w:hAnsi="宋体"/>
                <w:color w:val="auto"/>
                <w:kern w:val="2"/>
                <w:sz w:val="21"/>
                <w:szCs w:val="21"/>
              </w:rPr>
              <w:t>—</w:t>
            </w:r>
            <w:r>
              <w:rPr>
                <w:rFonts w:hint="eastAsia" w:ascii="宋体" w:hAnsi="宋体"/>
                <w:color w:val="auto"/>
                <w:kern w:val="2"/>
                <w:sz w:val="21"/>
                <w:szCs w:val="21"/>
              </w:rPr>
              <w:t>2015     病媒生物综合管理技术规范        化学防治  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12</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31719</w:t>
            </w:r>
            <w:r>
              <w:rPr>
                <w:rFonts w:ascii="宋体" w:hAnsi="宋体"/>
                <w:color w:val="auto"/>
                <w:kern w:val="2"/>
                <w:sz w:val="21"/>
                <w:szCs w:val="21"/>
              </w:rPr>
              <w:t>—</w:t>
            </w:r>
            <w:r>
              <w:rPr>
                <w:rFonts w:hint="eastAsia" w:ascii="宋体" w:hAnsi="宋体"/>
                <w:color w:val="auto"/>
                <w:kern w:val="2"/>
                <w:sz w:val="21"/>
                <w:szCs w:val="21"/>
              </w:rPr>
              <w:t>2015     病媒生物综合管理技术规范        化学防治  蜚蠊</w:t>
            </w:r>
          </w:p>
        </w:tc>
      </w:tr>
    </w:tbl>
    <w:p>
      <w:pPr>
        <w:numPr>
          <w:ilvl w:val="0"/>
          <w:numId w:val="1"/>
        </w:num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服务细则</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消杀频次为</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次/月</w:t>
      </w:r>
      <w:r>
        <w:rPr>
          <w:rFonts w:hint="eastAsia" w:ascii="仿宋_GB2312" w:eastAsia="仿宋_GB2312"/>
          <w:color w:val="auto"/>
          <w:sz w:val="32"/>
          <w:szCs w:val="32"/>
          <w:lang w:val="en-US" w:eastAsia="zh-CN"/>
        </w:rPr>
        <w:t>,每次1-2人(其中必须要有一名女性）</w:t>
      </w:r>
      <w:r>
        <w:rPr>
          <w:rFonts w:hint="eastAsia" w:ascii="仿宋_GB2312" w:eastAsia="仿宋_GB2312"/>
          <w:color w:val="auto"/>
          <w:sz w:val="32"/>
          <w:szCs w:val="32"/>
        </w:rPr>
        <w:t>。</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虫害防治计划</w:t>
      </w:r>
    </w:p>
    <w:tbl>
      <w:tblPr>
        <w:tblStyle w:val="5"/>
        <w:tblW w:w="8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02"/>
        <w:gridCol w:w="2287"/>
        <w:gridCol w:w="194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noWrap w:val="0"/>
            <w:vAlign w:val="center"/>
          </w:tcPr>
          <w:p>
            <w:pPr>
              <w:jc w:val="center"/>
              <w:rPr>
                <w:color w:val="auto"/>
                <w:szCs w:val="21"/>
              </w:rPr>
            </w:pPr>
            <w:r>
              <w:rPr>
                <w:rFonts w:hint="eastAsia"/>
                <w:color w:val="auto"/>
                <w:szCs w:val="21"/>
              </w:rPr>
              <w:t>区域</w:t>
            </w:r>
          </w:p>
        </w:tc>
        <w:tc>
          <w:tcPr>
            <w:tcW w:w="1402" w:type="dxa"/>
            <w:noWrap w:val="0"/>
            <w:vAlign w:val="center"/>
          </w:tcPr>
          <w:p>
            <w:pPr>
              <w:jc w:val="center"/>
              <w:rPr>
                <w:color w:val="auto"/>
                <w:szCs w:val="21"/>
              </w:rPr>
            </w:pPr>
            <w:r>
              <w:rPr>
                <w:rFonts w:hint="eastAsia"/>
                <w:color w:val="auto"/>
                <w:szCs w:val="21"/>
              </w:rPr>
              <w:t>靶标虫害</w:t>
            </w:r>
          </w:p>
        </w:tc>
        <w:tc>
          <w:tcPr>
            <w:tcW w:w="2287" w:type="dxa"/>
            <w:noWrap w:val="0"/>
            <w:vAlign w:val="center"/>
          </w:tcPr>
          <w:p>
            <w:pPr>
              <w:jc w:val="center"/>
              <w:rPr>
                <w:color w:val="auto"/>
                <w:szCs w:val="21"/>
              </w:rPr>
            </w:pPr>
            <w:r>
              <w:rPr>
                <w:rFonts w:hint="eastAsia"/>
                <w:color w:val="auto"/>
                <w:szCs w:val="21"/>
              </w:rPr>
              <w:t>处理方式</w:t>
            </w:r>
          </w:p>
        </w:tc>
        <w:tc>
          <w:tcPr>
            <w:tcW w:w="1944" w:type="dxa"/>
            <w:noWrap w:val="0"/>
            <w:vAlign w:val="center"/>
          </w:tcPr>
          <w:p>
            <w:pPr>
              <w:jc w:val="center"/>
              <w:rPr>
                <w:color w:val="auto"/>
                <w:szCs w:val="21"/>
              </w:rPr>
            </w:pPr>
            <w:r>
              <w:rPr>
                <w:rFonts w:hint="eastAsia"/>
                <w:color w:val="auto"/>
                <w:szCs w:val="21"/>
              </w:rPr>
              <w:t>检查频率</w:t>
            </w:r>
          </w:p>
        </w:tc>
        <w:tc>
          <w:tcPr>
            <w:tcW w:w="1930" w:type="dxa"/>
            <w:noWrap w:val="0"/>
            <w:vAlign w:val="center"/>
          </w:tcPr>
          <w:p>
            <w:pPr>
              <w:jc w:val="center"/>
              <w:rPr>
                <w:color w:val="auto"/>
                <w:szCs w:val="21"/>
              </w:rPr>
            </w:pPr>
            <w:r>
              <w:rPr>
                <w:rFonts w:hint="eastAsia"/>
                <w:color w:val="auto"/>
                <w:szCs w:val="21"/>
              </w:rPr>
              <w:t>更换频率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Merge w:val="restart"/>
            <w:noWrap w:val="0"/>
            <w:vAlign w:val="center"/>
          </w:tcPr>
          <w:p>
            <w:pPr>
              <w:jc w:val="center"/>
              <w:rPr>
                <w:color w:val="auto"/>
                <w:szCs w:val="21"/>
              </w:rPr>
            </w:pPr>
            <w:r>
              <w:rPr>
                <w:rFonts w:hint="eastAsia"/>
                <w:color w:val="auto"/>
                <w:szCs w:val="21"/>
              </w:rPr>
              <w:t>各院区建筑周围绿化、垃圾房、污水沟</w:t>
            </w:r>
          </w:p>
        </w:tc>
        <w:tc>
          <w:tcPr>
            <w:tcW w:w="1402" w:type="dxa"/>
            <w:noWrap w:val="0"/>
            <w:vAlign w:val="center"/>
          </w:tcPr>
          <w:p>
            <w:pPr>
              <w:jc w:val="center"/>
              <w:rPr>
                <w:color w:val="auto"/>
                <w:szCs w:val="21"/>
              </w:rPr>
            </w:pPr>
            <w:r>
              <w:rPr>
                <w:rFonts w:hint="eastAsia"/>
                <w:color w:val="auto"/>
                <w:szCs w:val="21"/>
              </w:rPr>
              <w:t>鼠类</w:t>
            </w:r>
          </w:p>
        </w:tc>
        <w:tc>
          <w:tcPr>
            <w:tcW w:w="2287" w:type="dxa"/>
            <w:noWrap w:val="0"/>
            <w:vAlign w:val="center"/>
          </w:tcPr>
          <w:p>
            <w:pPr>
              <w:jc w:val="center"/>
              <w:rPr>
                <w:rFonts w:hint="eastAsia"/>
                <w:color w:val="auto"/>
                <w:szCs w:val="21"/>
              </w:rPr>
            </w:pPr>
            <w:r>
              <w:rPr>
                <w:rFonts w:hint="eastAsia"/>
                <w:color w:val="auto"/>
                <w:szCs w:val="21"/>
              </w:rPr>
              <w:t>沿建筑墙基放鼠饵站。</w:t>
            </w:r>
          </w:p>
          <w:p>
            <w:pPr>
              <w:jc w:val="center"/>
              <w:rPr>
                <w:color w:val="auto"/>
                <w:szCs w:val="21"/>
              </w:rPr>
            </w:pP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次，按鼠害情况可增加1-2次/月</w:t>
            </w:r>
          </w:p>
        </w:tc>
        <w:tc>
          <w:tcPr>
            <w:tcW w:w="1930" w:type="dxa"/>
            <w:noWrap w:val="0"/>
            <w:vAlign w:val="center"/>
          </w:tcPr>
          <w:p>
            <w:pPr>
              <w:jc w:val="center"/>
              <w:rPr>
                <w:color w:val="auto"/>
                <w:szCs w:val="21"/>
              </w:rPr>
            </w:pPr>
            <w:r>
              <w:rPr>
                <w:rFonts w:hint="eastAsia"/>
                <w:color w:val="auto"/>
                <w:szCs w:val="21"/>
              </w:rPr>
              <w:t>未发生盗食、潮湿等情况时，鼠饵必须每月更换一次（2-4月份每月至少2次）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Merge w:val="continue"/>
            <w:noWrap w:val="0"/>
            <w:vAlign w:val="center"/>
          </w:tcPr>
          <w:p>
            <w:pPr>
              <w:jc w:val="center"/>
              <w:rPr>
                <w:color w:val="auto"/>
                <w:szCs w:val="21"/>
              </w:rPr>
            </w:pPr>
          </w:p>
        </w:tc>
        <w:tc>
          <w:tcPr>
            <w:tcW w:w="1402" w:type="dxa"/>
            <w:noWrap w:val="0"/>
            <w:vAlign w:val="center"/>
          </w:tcPr>
          <w:p>
            <w:pPr>
              <w:jc w:val="center"/>
              <w:rPr>
                <w:color w:val="auto"/>
                <w:szCs w:val="21"/>
              </w:rPr>
            </w:pPr>
            <w:r>
              <w:rPr>
                <w:rFonts w:hint="eastAsia"/>
                <w:color w:val="auto"/>
                <w:szCs w:val="21"/>
              </w:rPr>
              <w:t>蚊蝇（飞虫）</w:t>
            </w:r>
          </w:p>
        </w:tc>
        <w:tc>
          <w:tcPr>
            <w:tcW w:w="2287" w:type="dxa"/>
            <w:noWrap w:val="0"/>
            <w:vAlign w:val="center"/>
          </w:tcPr>
          <w:p>
            <w:pPr>
              <w:jc w:val="center"/>
              <w:rPr>
                <w:rFonts w:hint="eastAsia"/>
                <w:color w:val="auto"/>
                <w:szCs w:val="21"/>
              </w:rPr>
            </w:pPr>
            <w:r>
              <w:rPr>
                <w:rFonts w:hint="eastAsia"/>
                <w:color w:val="auto"/>
                <w:szCs w:val="21"/>
              </w:rPr>
              <w:t>滞留喷洒</w:t>
            </w:r>
          </w:p>
          <w:p>
            <w:pPr>
              <w:jc w:val="center"/>
              <w:rPr>
                <w:rFonts w:hint="eastAsia" w:eastAsia="宋体"/>
                <w:color w:val="auto"/>
                <w:szCs w:val="21"/>
                <w:lang w:eastAsia="zh-CN"/>
              </w:rPr>
            </w:pPr>
            <w:r>
              <w:rPr>
                <w:rFonts w:hint="eastAsia"/>
                <w:color w:val="auto"/>
                <w:szCs w:val="21"/>
                <w:lang w:eastAsia="zh-CN"/>
              </w:rPr>
              <w:t>必须使用外资品牌的药品。提供</w:t>
            </w:r>
            <w:r>
              <w:rPr>
                <w:rFonts w:hint="eastAsia"/>
                <w:color w:val="auto"/>
                <w:szCs w:val="21"/>
                <w:lang w:val="en-US" w:eastAsia="zh-CN"/>
              </w:rPr>
              <w:t>MSDS</w:t>
            </w:r>
            <w:r>
              <w:rPr>
                <w:rFonts w:hint="eastAsia"/>
                <w:color w:val="auto"/>
                <w:szCs w:val="21"/>
                <w:lang w:eastAsia="zh-CN"/>
              </w:rPr>
              <w:t>。</w:t>
            </w:r>
          </w:p>
        </w:tc>
        <w:tc>
          <w:tcPr>
            <w:tcW w:w="1944" w:type="dxa"/>
            <w:noWrap w:val="0"/>
            <w:vAlign w:val="center"/>
          </w:tcPr>
          <w:p>
            <w:pPr>
              <w:jc w:val="center"/>
              <w:rPr>
                <w:color w:val="auto"/>
                <w:szCs w:val="21"/>
              </w:rPr>
            </w:pPr>
            <w:r>
              <w:rPr>
                <w:rFonts w:hint="eastAsia"/>
                <w:color w:val="auto"/>
                <w:szCs w:val="21"/>
              </w:rPr>
              <w:t>（5-10月份每</w:t>
            </w:r>
            <w:r>
              <w:rPr>
                <w:rFonts w:hint="eastAsia"/>
                <w:color w:val="auto"/>
                <w:szCs w:val="21"/>
                <w:lang w:eastAsia="zh-CN"/>
              </w:rPr>
              <w:t>两</w:t>
            </w:r>
            <w:r>
              <w:rPr>
                <w:rFonts w:hint="eastAsia"/>
                <w:color w:val="auto"/>
                <w:szCs w:val="21"/>
              </w:rPr>
              <w:t>周至少1次；11-次年</w:t>
            </w:r>
            <w:r>
              <w:rPr>
                <w:rFonts w:hint="eastAsia"/>
                <w:color w:val="auto"/>
                <w:szCs w:val="21"/>
                <w:lang w:val="en-US" w:eastAsia="zh-CN"/>
              </w:rPr>
              <w:t>4</w:t>
            </w:r>
            <w:r>
              <w:rPr>
                <w:rFonts w:hint="eastAsia"/>
                <w:color w:val="auto"/>
                <w:szCs w:val="21"/>
              </w:rPr>
              <w:t>月每</w:t>
            </w:r>
            <w:r>
              <w:rPr>
                <w:rFonts w:hint="eastAsia"/>
                <w:color w:val="auto"/>
                <w:szCs w:val="21"/>
                <w:lang w:eastAsia="zh-CN"/>
              </w:rPr>
              <w:t>两</w:t>
            </w:r>
            <w:r>
              <w:rPr>
                <w:rFonts w:hint="eastAsia"/>
                <w:color w:val="auto"/>
                <w:szCs w:val="21"/>
              </w:rPr>
              <w:t>周至少1次；</w:t>
            </w:r>
          </w:p>
        </w:tc>
        <w:tc>
          <w:tcPr>
            <w:tcW w:w="193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54" w:type="dxa"/>
            <w:vMerge w:val="restart"/>
            <w:noWrap w:val="0"/>
            <w:vAlign w:val="center"/>
          </w:tcPr>
          <w:p>
            <w:pPr>
              <w:jc w:val="center"/>
              <w:rPr>
                <w:color w:val="auto"/>
                <w:szCs w:val="21"/>
              </w:rPr>
            </w:pPr>
            <w:r>
              <w:rPr>
                <w:rFonts w:hint="eastAsia"/>
                <w:color w:val="auto"/>
                <w:szCs w:val="21"/>
              </w:rPr>
              <w:t>各院区建筑内部</w:t>
            </w:r>
          </w:p>
        </w:tc>
        <w:tc>
          <w:tcPr>
            <w:tcW w:w="1402" w:type="dxa"/>
            <w:noWrap w:val="0"/>
            <w:vAlign w:val="center"/>
          </w:tcPr>
          <w:p>
            <w:pPr>
              <w:jc w:val="center"/>
              <w:rPr>
                <w:color w:val="auto"/>
                <w:szCs w:val="21"/>
              </w:rPr>
            </w:pPr>
            <w:r>
              <w:rPr>
                <w:rFonts w:hint="eastAsia"/>
                <w:color w:val="auto"/>
                <w:szCs w:val="21"/>
              </w:rPr>
              <w:t>鼠类</w:t>
            </w:r>
          </w:p>
        </w:tc>
        <w:tc>
          <w:tcPr>
            <w:tcW w:w="2287" w:type="dxa"/>
            <w:noWrap w:val="0"/>
            <w:vAlign w:val="center"/>
          </w:tcPr>
          <w:p>
            <w:pPr>
              <w:jc w:val="center"/>
              <w:rPr>
                <w:color w:val="auto"/>
                <w:szCs w:val="21"/>
              </w:rPr>
            </w:pPr>
            <w:r>
              <w:rPr>
                <w:rFonts w:hint="eastAsia"/>
                <w:color w:val="auto"/>
                <w:szCs w:val="21"/>
              </w:rPr>
              <w:t>放鼠类监测站，关键区域布放机械式捕鼠器和粘鼠板</w:t>
            </w:r>
            <w:r>
              <w:rPr>
                <w:rFonts w:hint="eastAsia"/>
                <w:color w:val="auto"/>
                <w:szCs w:val="21"/>
                <w:lang w:eastAsia="zh-CN"/>
              </w:rPr>
              <w:t>。</w:t>
            </w: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w:t>
            </w:r>
          </w:p>
        </w:tc>
        <w:tc>
          <w:tcPr>
            <w:tcW w:w="1930" w:type="dxa"/>
            <w:noWrap w:val="0"/>
            <w:vAlign w:val="center"/>
          </w:tcPr>
          <w:p>
            <w:pPr>
              <w:jc w:val="center"/>
              <w:rPr>
                <w:color w:val="auto"/>
                <w:szCs w:val="21"/>
              </w:rPr>
            </w:pPr>
            <w:r>
              <w:rPr>
                <w:rFonts w:hint="eastAsia"/>
                <w:color w:val="auto"/>
                <w:szCs w:val="21"/>
              </w:rPr>
              <w:t>粘鼠板灰尘、昆虫覆盖率达50%时必须更换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Merge w:val="continue"/>
            <w:noWrap w:val="0"/>
            <w:vAlign w:val="center"/>
          </w:tcPr>
          <w:p>
            <w:pPr>
              <w:jc w:val="center"/>
              <w:rPr>
                <w:color w:val="auto"/>
                <w:szCs w:val="21"/>
              </w:rPr>
            </w:pPr>
          </w:p>
        </w:tc>
        <w:tc>
          <w:tcPr>
            <w:tcW w:w="1402" w:type="dxa"/>
            <w:noWrap w:val="0"/>
            <w:vAlign w:val="center"/>
          </w:tcPr>
          <w:p>
            <w:pPr>
              <w:jc w:val="center"/>
              <w:rPr>
                <w:color w:val="auto"/>
                <w:szCs w:val="21"/>
              </w:rPr>
            </w:pPr>
            <w:r>
              <w:rPr>
                <w:rFonts w:hint="eastAsia"/>
                <w:color w:val="auto"/>
                <w:szCs w:val="21"/>
              </w:rPr>
              <w:t>蟑螂（爬虫）</w:t>
            </w:r>
          </w:p>
        </w:tc>
        <w:tc>
          <w:tcPr>
            <w:tcW w:w="2287" w:type="dxa"/>
            <w:noWrap w:val="0"/>
            <w:vAlign w:val="center"/>
          </w:tcPr>
          <w:p>
            <w:pPr>
              <w:jc w:val="center"/>
              <w:rPr>
                <w:color w:val="auto"/>
                <w:szCs w:val="21"/>
              </w:rPr>
            </w:pPr>
            <w:r>
              <w:rPr>
                <w:rFonts w:hint="eastAsia"/>
                <w:color w:val="auto"/>
                <w:szCs w:val="21"/>
              </w:rPr>
              <w:t>以检查为主，如发现蟑螂踪迹，及时进行处理</w:t>
            </w: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次；按虫害情况可增加1-2次/月</w:t>
            </w:r>
          </w:p>
        </w:tc>
        <w:tc>
          <w:tcPr>
            <w:tcW w:w="193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854" w:type="dxa"/>
            <w:vMerge w:val="continue"/>
            <w:noWrap w:val="0"/>
            <w:vAlign w:val="center"/>
          </w:tcPr>
          <w:p>
            <w:pPr>
              <w:jc w:val="center"/>
              <w:rPr>
                <w:color w:val="auto"/>
                <w:szCs w:val="21"/>
              </w:rPr>
            </w:pPr>
          </w:p>
        </w:tc>
        <w:tc>
          <w:tcPr>
            <w:tcW w:w="1402" w:type="dxa"/>
            <w:noWrap w:val="0"/>
            <w:vAlign w:val="center"/>
          </w:tcPr>
          <w:p>
            <w:pPr>
              <w:jc w:val="center"/>
              <w:rPr>
                <w:color w:val="auto"/>
                <w:szCs w:val="21"/>
              </w:rPr>
            </w:pPr>
            <w:r>
              <w:rPr>
                <w:rFonts w:hint="eastAsia"/>
                <w:color w:val="auto"/>
                <w:szCs w:val="21"/>
              </w:rPr>
              <w:t>蚊蝇</w:t>
            </w:r>
          </w:p>
        </w:tc>
        <w:tc>
          <w:tcPr>
            <w:tcW w:w="2287" w:type="dxa"/>
            <w:noWrap w:val="0"/>
            <w:vAlign w:val="center"/>
          </w:tcPr>
          <w:p>
            <w:pPr>
              <w:jc w:val="center"/>
              <w:rPr>
                <w:color w:val="auto"/>
                <w:szCs w:val="21"/>
              </w:rPr>
            </w:pPr>
            <w:r>
              <w:rPr>
                <w:rFonts w:hint="eastAsia"/>
                <w:color w:val="auto"/>
                <w:szCs w:val="21"/>
              </w:rPr>
              <w:t>公共通道使用粘捕式昆虫诱捕灯控制飞虫</w:t>
            </w: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次；按虫害情况可增加1-2次/月</w:t>
            </w:r>
          </w:p>
        </w:tc>
        <w:tc>
          <w:tcPr>
            <w:tcW w:w="1930" w:type="dxa"/>
            <w:noWrap w:val="0"/>
            <w:vAlign w:val="center"/>
          </w:tcPr>
          <w:p>
            <w:pPr>
              <w:jc w:val="center"/>
              <w:rPr>
                <w:color w:val="auto"/>
                <w:szCs w:val="21"/>
              </w:rPr>
            </w:pPr>
            <w:r>
              <w:rPr>
                <w:rFonts w:hint="eastAsia"/>
                <w:color w:val="auto"/>
                <w:szCs w:val="21"/>
              </w:rPr>
              <w:t>粘虫板每次检查后记录并更换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854" w:type="dxa"/>
            <w:noWrap w:val="0"/>
            <w:vAlign w:val="center"/>
          </w:tcPr>
          <w:p>
            <w:pPr>
              <w:jc w:val="center"/>
              <w:rPr>
                <w:color w:val="auto"/>
                <w:szCs w:val="21"/>
              </w:rPr>
            </w:pPr>
          </w:p>
        </w:tc>
        <w:tc>
          <w:tcPr>
            <w:tcW w:w="1402" w:type="dxa"/>
            <w:noWrap w:val="0"/>
            <w:vAlign w:val="center"/>
          </w:tcPr>
          <w:p>
            <w:pPr>
              <w:jc w:val="center"/>
              <w:rPr>
                <w:rFonts w:hint="eastAsia"/>
                <w:color w:val="auto"/>
                <w:szCs w:val="21"/>
              </w:rPr>
            </w:pPr>
            <w:r>
              <w:rPr>
                <w:rFonts w:hint="eastAsia"/>
                <w:color w:val="auto"/>
                <w:szCs w:val="21"/>
              </w:rPr>
              <w:t>白蚁处理方式</w:t>
            </w:r>
          </w:p>
        </w:tc>
        <w:tc>
          <w:tcPr>
            <w:tcW w:w="2287" w:type="dxa"/>
            <w:noWrap w:val="0"/>
            <w:vAlign w:val="center"/>
          </w:tcPr>
          <w:p>
            <w:pPr>
              <w:jc w:val="center"/>
              <w:rPr>
                <w:rFonts w:hint="eastAsia"/>
                <w:color w:val="auto"/>
                <w:szCs w:val="21"/>
              </w:rPr>
            </w:pPr>
            <w:bookmarkStart w:id="3" w:name="_GoBack"/>
            <w:bookmarkEnd w:id="3"/>
            <w:r>
              <w:rPr>
                <w:rFonts w:hint="eastAsia"/>
                <w:color w:val="auto"/>
                <w:szCs w:val="21"/>
              </w:rPr>
              <w:t>灌注、引诱、喷杀；</w:t>
            </w:r>
          </w:p>
        </w:tc>
        <w:tc>
          <w:tcPr>
            <w:tcW w:w="1944" w:type="dxa"/>
            <w:noWrap w:val="0"/>
            <w:vAlign w:val="center"/>
          </w:tcPr>
          <w:p>
            <w:pPr>
              <w:jc w:val="center"/>
              <w:rPr>
                <w:rFonts w:hint="eastAsia"/>
                <w:color w:val="auto"/>
                <w:szCs w:val="21"/>
              </w:rPr>
            </w:pPr>
            <w:r>
              <w:rPr>
                <w:rFonts w:hint="eastAsia"/>
                <w:color w:val="auto"/>
                <w:szCs w:val="21"/>
              </w:rPr>
              <w:t>检查频率：4—8每月两次进行点位处理。</w:t>
            </w:r>
          </w:p>
        </w:tc>
        <w:tc>
          <w:tcPr>
            <w:tcW w:w="1930" w:type="dxa"/>
            <w:noWrap w:val="0"/>
            <w:vAlign w:val="center"/>
          </w:tcPr>
          <w:p>
            <w:pPr>
              <w:jc w:val="center"/>
              <w:rPr>
                <w:rFonts w:hint="eastAsia"/>
                <w:color w:val="auto"/>
                <w:szCs w:val="21"/>
              </w:rPr>
            </w:pPr>
          </w:p>
        </w:tc>
      </w:tr>
    </w:tbl>
    <w:p>
      <w:pPr>
        <w:pStyle w:val="8"/>
        <w:widowControl/>
        <w:spacing w:line="400" w:lineRule="exact"/>
        <w:ind w:firstLine="0" w:firstLineChars="0"/>
        <w:jc w:val="left"/>
        <w:rPr>
          <w:rFonts w:hint="eastAsia"/>
          <w:color w:val="auto"/>
          <w:szCs w:val="21"/>
        </w:rPr>
      </w:pP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鼠类的防治：</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根据我院对虫鼠害控制的特殊要求，则检查整个院区内外区域、鉴定所有鼠迹及鼠害程度之方法包括如下：</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处理频率：每月至少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次，按虫害情况可增加1-2次/月。</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处理方式：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首先在院区内建筑物周边（如车间、仓库、食堂、办公楼等处）安放并固定“鼠盒”，其间隔10-15米，按规定紧贴墙根处放置。所放置的鼠盒均需上锁并必须设有标识和编号，并记录数量且用平面图标示出摆放位置；鼠盒有损坏或更新时并及时做出相应的更新。</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每周至少1次对所有户外安装的鼠盒进行检查（并做好详细记录），以确定是否迅速控制鼠害。</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每月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次对所有室内置放的捕鼠设施进行检查，鉴定鼠害情况，并做好详细记录。</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1次对所有缺乏或所需改进之防鼠措施进行检查，以确定是否达到最有效之防治鼠害入侵（对易受鼠害场所的地方如门、窗、下水道、通风孔、外围的洞道等每月进行检查，发现问题时及时提出合理建议并协助修建防鼠设施）。</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鼠密度（每季度做一次用粉迹法）每月（按每周检查数据做出趋势分析图）进行监测至少1次，测试方法按国家相关的标准进行，如测试结果超过标准，虫害控制公司应主动与我院联系增加对该区域的灭鼠频率，直接再次测量鼠密度符合要求后才能按正常频率进行灭鼠计划。</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 xml:space="preserve">蚊蝇飞虫等类的防治： </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处理频率：</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院区每月至少全面消杀至少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次，（可根据实际情况增加消杀次数）；重点消杀区域主要有食堂、卫生间、下水道、垃圾房等。</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处理方式：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检查各个院区室内外环境、鉴定所有虫害情况并进行下列控制飞虫程序：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所使用的杀虫剂均符合国家标准，具有农药许可证及相关MSDS；</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在药品的选择上分别符合内、外环境的不同要求；</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1次检查所有户外潜在滋生地，鉴定害虫程度。在所有发现受害虫影响的地点，采用非化学或“化学重点处理”的方法，使用适合的器械提供即时击倒，同时根据需要可采用“化学方法”进行长效灭蚊蝇处理。</w:t>
      </w:r>
    </w:p>
    <w:p>
      <w:p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每周至少至少1次检查所有室内置放的灭蝇灯等设施，并做好记录。灭蝇灯设有位置标识、检查日期等，并按需要作出清洁或更换。同时我院会根据各部门具体情况提出合理建议</w:t>
      </w:r>
      <w:r>
        <w:rPr>
          <w:rFonts w:hint="eastAsia" w:ascii="仿宋_GB2312" w:eastAsia="仿宋_GB2312"/>
          <w:color w:val="auto"/>
          <w:sz w:val="32"/>
          <w:szCs w:val="32"/>
          <w:lang w:eastAsia="zh-CN"/>
        </w:rPr>
        <w:t>。</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每月至少1次检查所有缺乏、不足或所需改进的防治虫害的设施及器具（如安装纱门、加装灭蝇灯等），以确保达到最有效的防治害虫入侵的效果</w:t>
      </w:r>
      <w:r>
        <w:rPr>
          <w:rFonts w:hint="eastAsia" w:ascii="仿宋_GB2312" w:eastAsia="仿宋_GB2312"/>
          <w:color w:val="auto"/>
          <w:sz w:val="32"/>
          <w:szCs w:val="32"/>
          <w:lang w:eastAsia="zh-CN"/>
        </w:rPr>
        <w:t>。</w:t>
      </w:r>
      <w:r>
        <w:rPr>
          <w:rFonts w:hint="eastAsia" w:ascii="仿宋_GB2312" w:eastAsia="仿宋_GB2312"/>
          <w:color w:val="auto"/>
          <w:sz w:val="32"/>
          <w:szCs w:val="32"/>
        </w:rPr>
        <w:t>为减小对室内区域造成不必要的污染，故特定的使用药物进行化学处理只在以下原因进行：当检查时，在各科室、仓库、办公室等室内如发现因缺乏防治措施而受到飞虫活动影响的空间，将采用超低容量喷雾器（进行前将通过客户许可方可安排）对室内进行空间喷雾，以控制其中活跃的害虫。所处理的空间应保持密闭最少2小时，确保达到最佳处理结果。</w:t>
      </w:r>
    </w:p>
    <w:p>
      <w:p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蟑螂、蚂蚁、蛐蛐等爬虫的防治</w:t>
      </w:r>
      <w:r>
        <w:rPr>
          <w:rFonts w:hint="eastAsia" w:ascii="仿宋_GB2312" w:eastAsia="仿宋_GB2312"/>
          <w:color w:val="auto"/>
          <w:sz w:val="32"/>
          <w:szCs w:val="32"/>
          <w:lang w:eastAsia="zh-CN"/>
        </w:rPr>
        <w:t>。</w:t>
      </w:r>
      <w:r>
        <w:rPr>
          <w:rFonts w:hint="eastAsia" w:ascii="仿宋_GB2312" w:eastAsia="仿宋_GB2312"/>
          <w:color w:val="auto"/>
          <w:sz w:val="32"/>
          <w:szCs w:val="32"/>
        </w:rPr>
        <w:t>消杀频率：每月至少全面消杀至少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次。在爬虫密集区（如食堂、绿化带等）将根据现场情况临时增加作业次数。处理方式：检查各个区域室内外环境、鉴定所有虫害情况，并进行</w:t>
      </w:r>
      <w:r>
        <w:rPr>
          <w:rFonts w:hint="eastAsia" w:ascii="仿宋_GB2312" w:eastAsia="仿宋_GB2312"/>
          <w:color w:val="auto"/>
          <w:sz w:val="32"/>
          <w:szCs w:val="32"/>
          <w:lang w:eastAsia="zh-CN"/>
        </w:rPr>
        <w:t>。</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下列控制爬虫程序：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次对所有潜在栖息地进行检查，从而鉴定虫害程度。在所有发现已受害虫影响之地，将采用非化学或化学重点处理方法，使用适合之器械提供即时杀灭。</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每月至少2次对所有室内置放之监察粘捕贴进行检查，从而鉴定虫害程度。监察粘捕贴将按需要时作出更换。在所有发现已受虫害影响之地点或虫害活跃高峰季节期，将采用非化学或化学处理方法，提供即时杀灭。</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当检查是在建筑物内外，发现美洲大蠊、德国小蠊在下水道或沟渠附近活动时，将采用热烟雾器械进行下水道灭爬虫及其它滋生害虫处理。</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当检查时，在院区室内发现活跃及严重程度爬虫出没之地点，将采用背负式喷雾器进行地角线处理，从而达致以最小污染处理受到影响之地点，获取最有效之控制。</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（五）其它虫类的防治：其他虫类根据发生情况随时处理，并提供防治方案 。</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五、验收标准：</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（一）灭鼠标准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1．15平方米标准房间布放20×20厘米滑石粉块两块，一夜后阳性粉块不超过3℅；有鼠洞、鼠粪、鼠咬等痕迹的房间不超过1℅；重点单位防鼠设施不合格处不超过3℅。</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2．不同类型的外环境累计2000米，鼠迹不超过3处。</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（二）灭蚊标准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1．单位内外环境各种存水容器和积水中，蚊幼虫及蛹的阳性率不超过2℅。</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2．用500</w:t>
      </w:r>
      <w:r>
        <w:rPr>
          <w:rFonts w:hint="eastAsia" w:ascii="仿宋_GB2312" w:eastAsia="仿宋_GB2312"/>
          <w:color w:val="auto"/>
          <w:sz w:val="32"/>
          <w:szCs w:val="32"/>
          <w:lang w:val="en-GB" w:eastAsia="zh-CN"/>
        </w:rPr>
        <w:t>ml收集勺采集区内大中型水体中的蚊幼虫或蛹阳性率不超过2</w:t>
      </w:r>
      <w:r>
        <w:rPr>
          <w:rFonts w:hint="eastAsia" w:ascii="仿宋_GB2312" w:eastAsia="仿宋_GB2312"/>
          <w:color w:val="auto"/>
          <w:sz w:val="32"/>
          <w:szCs w:val="32"/>
          <w:lang w:val="en-US" w:eastAsia="zh-CN"/>
        </w:rPr>
        <w:t>℅，阳性勺内幼虫或蛹的平均数不超过3只。</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3．特殊场所白天人诱蚊30分钟，平均每人次诱获成蚊数不超过1只。</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（三）灭蝇标准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1.重点单位有蝇房间不超过1℅，其它单位不超过2℅，平均每阳性房间不超过2只；重点单位防蝇设施不合格房间不超过3℅。</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2.蝇类滋生地得到有效治理，幼虫和蛹的检出率不超过2℅。</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（四）灭爬虫标准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1.室内有爬虫成虫或若虫阳性房间不超过3℅，平均每间房大蠊不超过3只，小蠊不超过6只。</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2.活爬虫卵鞘房间不超过2℅，平均每间房不超过4只。</w:t>
      </w:r>
    </w:p>
    <w:p>
      <w:pPr>
        <w:spacing w:line="360" w:lineRule="auto"/>
        <w:rPr>
          <w:rFonts w:hint="eastAsia" w:ascii="仿宋_GB2312" w:hAnsi="Times New Roman" w:eastAsia="仿宋_GB2312"/>
          <w:color w:val="auto"/>
          <w:kern w:val="2"/>
          <w:sz w:val="32"/>
          <w:szCs w:val="32"/>
          <w:lang w:val="en-US" w:eastAsia="zh-CN" w:bidi="ar-SA"/>
        </w:rPr>
      </w:pPr>
      <w:r>
        <w:rPr>
          <w:rFonts w:hint="eastAsia" w:ascii="仿宋_GB2312" w:eastAsia="仿宋_GB2312"/>
          <w:color w:val="auto"/>
          <w:sz w:val="32"/>
          <w:szCs w:val="32"/>
          <w:lang w:val="en-US" w:eastAsia="zh-CN"/>
        </w:rPr>
        <w:t>爬虫粪便蜕皮等蟑迹的房间不超过5℅。</w:t>
      </w:r>
    </w:p>
    <w:p>
      <w:pPr>
        <w:numPr>
          <w:ilvl w:val="0"/>
          <w:numId w:val="2"/>
        </w:numPr>
        <w:spacing w:line="360" w:lineRule="auto"/>
        <w:rPr>
          <w:rFonts w:hint="eastAsia" w:ascii="仿宋_GB2312" w:eastAsia="仿宋_GB2312"/>
          <w:b/>
          <w:bCs/>
          <w:color w:val="auto"/>
          <w:sz w:val="32"/>
          <w:szCs w:val="32"/>
        </w:rPr>
      </w:pPr>
      <w:r>
        <w:rPr>
          <w:rFonts w:hint="eastAsia" w:ascii="仿宋_GB2312" w:eastAsia="仿宋_GB2312"/>
          <w:b/>
          <w:bCs/>
          <w:color w:val="auto"/>
          <w:sz w:val="32"/>
          <w:szCs w:val="32"/>
        </w:rPr>
        <w:t>其他事项</w:t>
      </w:r>
    </w:p>
    <w:p>
      <w:pPr>
        <w:numPr>
          <w:ilvl w:val="0"/>
          <w:numId w:val="3"/>
        </w:num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专业的公司要有生物防治虫害资质，专业的团队要拥有专业的经验，作业人员的经验决定了现场鼠虫害情况维护的效果。我司的员工均为培训合格并通过国家劳动部组织的有害生物防制员考试，取得上岗证。</w:t>
      </w:r>
      <w:r>
        <w:rPr>
          <w:rFonts w:hint="eastAsia" w:ascii="仿宋_GB2312" w:eastAsia="仿宋_GB2312"/>
          <w:color w:val="auto"/>
          <w:sz w:val="32"/>
          <w:szCs w:val="32"/>
          <w:lang w:val="en-US" w:eastAsia="zh-CN"/>
        </w:rPr>
        <w:br w:type="textWrapping"/>
      </w:r>
      <w:r>
        <w:rPr>
          <w:rFonts w:hint="eastAsia" w:ascii="仿宋_GB2312" w:eastAsia="仿宋_GB2312"/>
          <w:color w:val="auto"/>
          <w:sz w:val="32"/>
          <w:szCs w:val="32"/>
          <w:lang w:val="en-US" w:eastAsia="zh-CN"/>
        </w:rPr>
        <w:t>2.能保证用药的药品安全性和使用药品按照行业内标准操作规范。不会因药品本身的质量问题和操作不当给院方造成经济损失。</w:t>
      </w:r>
      <w:r>
        <w:rPr>
          <w:rFonts w:hint="eastAsia" w:ascii="仿宋_GB2312" w:eastAsia="仿宋_GB2312"/>
          <w:color w:val="auto"/>
          <w:sz w:val="32"/>
          <w:szCs w:val="32"/>
          <w:lang w:val="en-US" w:eastAsia="zh-CN"/>
        </w:rPr>
        <w:br w:type="textWrapping"/>
      </w:r>
      <w:r>
        <w:rPr>
          <w:rFonts w:hint="eastAsia" w:ascii="仿宋_GB2312" w:eastAsia="仿宋_GB2312"/>
          <w:color w:val="auto"/>
          <w:sz w:val="32"/>
          <w:szCs w:val="32"/>
          <w:lang w:val="en-US" w:eastAsia="zh-CN"/>
        </w:rPr>
        <w:t>3.虫鼠害活动有随季节变化呈现上下波动起伏的情况，需要专业人士对其进行监测，掌握其发生发展的规律进而分析，而不是见虫用药，错误的方式方法将导致虫鼠害更加泛滥，甚至因施药不当造成环境污染及二次污染。</w:t>
      </w:r>
      <w:r>
        <w:rPr>
          <w:rFonts w:hint="eastAsia" w:ascii="仿宋_GB2312" w:eastAsia="仿宋_GB2312"/>
          <w:color w:val="auto"/>
          <w:sz w:val="32"/>
          <w:szCs w:val="32"/>
          <w:lang w:val="en-US" w:eastAsia="zh-CN"/>
        </w:rPr>
        <w:br w:type="textWrapping"/>
      </w:r>
      <w:r>
        <w:rPr>
          <w:rFonts w:hint="eastAsia" w:ascii="仿宋_GB2312" w:eastAsia="仿宋_GB2312"/>
          <w:color w:val="auto"/>
          <w:sz w:val="32"/>
          <w:szCs w:val="32"/>
          <w:lang w:val="en-US" w:eastAsia="zh-CN"/>
        </w:rPr>
        <w:t>4.先施工后收费，充分保障院方利益。有任何因灭鼠除虫给院方造成的损失，负责赔偿，购买公众责任险，为员工购买了意外伤害险，解决客户的后顾之忧。院方因合同项目内而发生的应时服务，均在24小时内得到及时解决。</w:t>
      </w:r>
    </w:p>
    <w:p>
      <w:pPr>
        <w:pStyle w:val="2"/>
        <w:rPr>
          <w:rFonts w:hint="eastAsia"/>
        </w:rPr>
      </w:pPr>
    </w:p>
    <w:p>
      <w:pPr>
        <w:pStyle w:val="3"/>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3"/>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5"/>
        <w:tblpPr w:leftFromText="180" w:rightFromText="180" w:vertAnchor="text" w:horzAnchor="page" w:tblpX="1225" w:tblpY="204"/>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700"/>
        <w:gridCol w:w="15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650" w:type="dxa"/>
            <w:noWrap w:val="0"/>
            <w:vAlign w:val="center"/>
          </w:tcPr>
          <w:p>
            <w:pPr>
              <w:spacing w:line="360" w:lineRule="auto"/>
              <w:jc w:val="center"/>
              <w:rPr>
                <w:rFonts w:hint="eastAsia" w:hAnsi="宋体" w:cs="宋体"/>
                <w:b/>
                <w:color w:val="auto"/>
              </w:rPr>
            </w:pPr>
            <w:r>
              <w:rPr>
                <w:rFonts w:hint="eastAsia" w:hAnsi="宋体" w:cs="宋体"/>
                <w:b/>
                <w:color w:val="auto"/>
              </w:rPr>
              <w:t xml:space="preserve"> 名  称</w:t>
            </w:r>
          </w:p>
        </w:tc>
        <w:tc>
          <w:tcPr>
            <w:tcW w:w="1762" w:type="dxa"/>
            <w:noWrap w:val="0"/>
            <w:vAlign w:val="center"/>
          </w:tcPr>
          <w:p>
            <w:pPr>
              <w:spacing w:line="360" w:lineRule="auto"/>
              <w:jc w:val="center"/>
              <w:rPr>
                <w:rFonts w:hint="eastAsia" w:hAnsi="宋体" w:cs="宋体"/>
                <w:b/>
                <w:color w:val="auto"/>
              </w:rPr>
            </w:pPr>
            <w:r>
              <w:rPr>
                <w:rFonts w:hint="eastAsia" w:hAnsi="宋体" w:cs="宋体"/>
                <w:b/>
                <w:color w:val="auto"/>
              </w:rPr>
              <w:t>报价</w:t>
            </w:r>
          </w:p>
        </w:tc>
        <w:tc>
          <w:tcPr>
            <w:tcW w:w="1700" w:type="dxa"/>
            <w:noWrap w:val="0"/>
            <w:vAlign w:val="center"/>
          </w:tcPr>
          <w:p>
            <w:pPr>
              <w:spacing w:line="360" w:lineRule="auto"/>
              <w:jc w:val="center"/>
              <w:rPr>
                <w:rFonts w:hint="eastAsia" w:hAnsi="宋体" w:cs="宋体"/>
                <w:b/>
                <w:color w:val="auto"/>
              </w:rPr>
            </w:pPr>
            <w:r>
              <w:rPr>
                <w:rFonts w:hint="eastAsia" w:hAnsi="宋体" w:cs="宋体"/>
                <w:b/>
                <w:color w:val="auto"/>
              </w:rPr>
              <w:t>工期</w:t>
            </w:r>
          </w:p>
          <w:p>
            <w:pPr>
              <w:spacing w:line="360" w:lineRule="auto"/>
              <w:jc w:val="center"/>
              <w:rPr>
                <w:rFonts w:hint="eastAsia" w:hAnsi="宋体" w:cs="宋体"/>
                <w:b/>
                <w:color w:val="auto"/>
              </w:rPr>
            </w:pPr>
            <w:r>
              <w:rPr>
                <w:rFonts w:hint="eastAsia" w:hAnsi="宋体" w:cs="宋体"/>
                <w:b/>
                <w:color w:val="auto"/>
              </w:rPr>
              <w:t>（服务期）</w:t>
            </w:r>
          </w:p>
        </w:tc>
        <w:tc>
          <w:tcPr>
            <w:tcW w:w="1575" w:type="dxa"/>
            <w:noWrap w:val="0"/>
            <w:vAlign w:val="center"/>
          </w:tcPr>
          <w:p>
            <w:pPr>
              <w:spacing w:line="360" w:lineRule="auto"/>
              <w:jc w:val="center"/>
              <w:rPr>
                <w:rFonts w:hint="eastAsia" w:hAnsi="宋体" w:cs="宋体"/>
                <w:b/>
                <w:color w:val="auto"/>
              </w:rPr>
            </w:pPr>
            <w:r>
              <w:rPr>
                <w:rFonts w:hint="eastAsia" w:hAnsi="宋体" w:cs="宋体"/>
                <w:b/>
                <w:color w:val="auto"/>
              </w:rPr>
              <w:t>质量标准</w:t>
            </w:r>
          </w:p>
        </w:tc>
        <w:tc>
          <w:tcPr>
            <w:tcW w:w="1775" w:type="dxa"/>
            <w:noWrap w:val="0"/>
            <w:vAlign w:val="center"/>
          </w:tcPr>
          <w:p>
            <w:pPr>
              <w:spacing w:line="360" w:lineRule="auto"/>
              <w:jc w:val="center"/>
              <w:rPr>
                <w:rFonts w:hint="eastAsia" w:hAnsi="宋体" w:cs="宋体"/>
                <w:b/>
                <w:color w:val="auto"/>
              </w:rPr>
            </w:pPr>
            <w:r>
              <w:rPr>
                <w:rFonts w:hint="eastAsia" w:hAnsi="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700" w:type="dxa"/>
            <w:noWrap w:val="0"/>
            <w:vAlign w:val="center"/>
          </w:tcPr>
          <w:p>
            <w:pPr>
              <w:spacing w:line="360" w:lineRule="auto"/>
              <w:rPr>
                <w:rFonts w:hint="eastAsia" w:hAnsi="宋体" w:cs="宋体"/>
                <w:b/>
                <w:color w:val="auto"/>
              </w:rPr>
            </w:pPr>
          </w:p>
        </w:tc>
        <w:tc>
          <w:tcPr>
            <w:tcW w:w="1575" w:type="dxa"/>
            <w:noWrap w:val="0"/>
            <w:vAlign w:val="center"/>
          </w:tcPr>
          <w:p>
            <w:pPr>
              <w:spacing w:line="360" w:lineRule="auto"/>
              <w:rPr>
                <w:rFonts w:hint="eastAsia" w:hAnsi="宋体" w:cs="宋体"/>
                <w:b/>
                <w:color w:val="auto"/>
              </w:rPr>
            </w:pPr>
          </w:p>
        </w:tc>
        <w:tc>
          <w:tcPr>
            <w:tcW w:w="1775"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700" w:type="dxa"/>
            <w:noWrap w:val="0"/>
            <w:vAlign w:val="center"/>
          </w:tcPr>
          <w:p>
            <w:pPr>
              <w:spacing w:line="360" w:lineRule="auto"/>
              <w:rPr>
                <w:rFonts w:hint="eastAsia" w:hAnsi="宋体" w:cs="宋体"/>
                <w:b/>
                <w:color w:val="auto"/>
              </w:rPr>
            </w:pPr>
          </w:p>
        </w:tc>
        <w:tc>
          <w:tcPr>
            <w:tcW w:w="1575" w:type="dxa"/>
            <w:noWrap w:val="0"/>
            <w:vAlign w:val="center"/>
          </w:tcPr>
          <w:p>
            <w:pPr>
              <w:spacing w:line="360" w:lineRule="auto"/>
              <w:rPr>
                <w:rFonts w:hint="eastAsia" w:hAnsi="宋体" w:cs="宋体"/>
                <w:b/>
                <w:color w:val="auto"/>
              </w:rPr>
            </w:pPr>
          </w:p>
        </w:tc>
        <w:tc>
          <w:tcPr>
            <w:tcW w:w="1775"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700" w:type="dxa"/>
            <w:noWrap w:val="0"/>
            <w:vAlign w:val="center"/>
          </w:tcPr>
          <w:p>
            <w:pPr>
              <w:spacing w:line="360" w:lineRule="auto"/>
              <w:rPr>
                <w:rFonts w:hint="eastAsia" w:hAnsi="宋体" w:cs="宋体"/>
                <w:b/>
                <w:color w:val="auto"/>
              </w:rPr>
            </w:pPr>
          </w:p>
        </w:tc>
        <w:tc>
          <w:tcPr>
            <w:tcW w:w="1575" w:type="dxa"/>
            <w:noWrap w:val="0"/>
            <w:vAlign w:val="center"/>
          </w:tcPr>
          <w:p>
            <w:pPr>
              <w:spacing w:line="360" w:lineRule="auto"/>
              <w:rPr>
                <w:rFonts w:hint="eastAsia" w:hAnsi="宋体" w:cs="宋体"/>
                <w:b/>
                <w:color w:val="auto"/>
              </w:rPr>
            </w:pPr>
          </w:p>
        </w:tc>
        <w:tc>
          <w:tcPr>
            <w:tcW w:w="1775"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700" w:type="dxa"/>
            <w:noWrap w:val="0"/>
            <w:vAlign w:val="center"/>
          </w:tcPr>
          <w:p>
            <w:pPr>
              <w:spacing w:line="360" w:lineRule="auto"/>
              <w:rPr>
                <w:rFonts w:hint="eastAsia" w:hAnsi="宋体" w:cs="宋体"/>
                <w:b/>
                <w:color w:val="auto"/>
              </w:rPr>
            </w:pPr>
          </w:p>
        </w:tc>
        <w:tc>
          <w:tcPr>
            <w:tcW w:w="1575" w:type="dxa"/>
            <w:noWrap w:val="0"/>
            <w:vAlign w:val="center"/>
          </w:tcPr>
          <w:p>
            <w:pPr>
              <w:spacing w:line="360" w:lineRule="auto"/>
              <w:rPr>
                <w:rFonts w:hint="eastAsia" w:hAnsi="宋体" w:cs="宋体"/>
                <w:b/>
                <w:color w:val="auto"/>
              </w:rPr>
            </w:pPr>
          </w:p>
        </w:tc>
        <w:tc>
          <w:tcPr>
            <w:tcW w:w="1775"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700" w:type="dxa"/>
            <w:noWrap w:val="0"/>
            <w:vAlign w:val="center"/>
          </w:tcPr>
          <w:p>
            <w:pPr>
              <w:spacing w:line="360" w:lineRule="auto"/>
              <w:rPr>
                <w:rFonts w:hint="eastAsia" w:hAnsi="宋体" w:cs="宋体"/>
                <w:b/>
                <w:color w:val="auto"/>
              </w:rPr>
            </w:pPr>
          </w:p>
        </w:tc>
        <w:tc>
          <w:tcPr>
            <w:tcW w:w="1575" w:type="dxa"/>
            <w:noWrap w:val="0"/>
            <w:vAlign w:val="center"/>
          </w:tcPr>
          <w:p>
            <w:pPr>
              <w:spacing w:line="360" w:lineRule="auto"/>
              <w:rPr>
                <w:rFonts w:hint="eastAsia" w:hAnsi="宋体" w:cs="宋体"/>
                <w:b/>
                <w:color w:val="auto"/>
              </w:rPr>
            </w:pPr>
          </w:p>
        </w:tc>
        <w:tc>
          <w:tcPr>
            <w:tcW w:w="1775"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462" w:type="dxa"/>
            <w:gridSpan w:val="5"/>
            <w:noWrap w:val="0"/>
            <w:vAlign w:val="center"/>
          </w:tcPr>
          <w:p>
            <w:pPr>
              <w:spacing w:line="360" w:lineRule="auto"/>
              <w:rPr>
                <w:rFonts w:hint="eastAsia" w:hAnsi="宋体" w:cs="宋体"/>
                <w:b/>
                <w:color w:val="auto"/>
              </w:rPr>
            </w:pPr>
            <w:r>
              <w:rPr>
                <w:rFonts w:hint="eastAsia" w:hAnsi="宋体" w:cs="宋体"/>
                <w:b/>
                <w:color w:val="auto"/>
              </w:rPr>
              <w:t>报价合计：小写：                 大写：</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3"/>
        <w:rPr>
          <w:rFonts w:hint="eastAsia" w:ascii="方正小标宋_GBK" w:hAnsi="方正小标宋_GBK" w:eastAsia="方正小标宋_GBK" w:cs="方正小标宋_GBK"/>
          <w:b/>
          <w:bCs/>
          <w:sz w:val="28"/>
          <w:szCs w:val="28"/>
        </w:rPr>
      </w:pPr>
    </w:p>
    <w:p>
      <w:pPr>
        <w:pStyle w:val="3"/>
        <w:rPr>
          <w:rFonts w:hint="eastAsia" w:ascii="方正小标宋_GBK" w:hAnsi="方正小标宋_GBK" w:eastAsia="方正小标宋_GBK" w:cs="方正小标宋_GBK"/>
          <w:b/>
          <w:bCs/>
          <w:sz w:val="28"/>
          <w:szCs w:val="28"/>
        </w:rPr>
      </w:pPr>
    </w:p>
    <w:p>
      <w:pPr>
        <w:pStyle w:val="3"/>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3"/>
        <w:rPr>
          <w:rFonts w:hint="eastAsia"/>
          <w:sz w:val="24"/>
          <w:szCs w:val="24"/>
        </w:rPr>
      </w:pPr>
    </w:p>
    <w:p>
      <w:pPr>
        <w:pStyle w:val="3"/>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174767233"/>
      <w:bookmarkStart w:id="2" w:name="_Toc23734370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3"/>
        <w:rPr>
          <w:rFonts w:hint="eastAsia" w:ascii="方正仿宋_GBK" w:hAnsi="方正仿宋_GBK" w:eastAsia="方正仿宋_GBK" w:cs="方正仿宋_GBK"/>
          <w:b/>
          <w:bCs/>
          <w:sz w:val="28"/>
          <w:szCs w:val="28"/>
        </w:rPr>
      </w:pPr>
    </w:p>
    <w:p>
      <w:pPr>
        <w:pStyle w:val="3"/>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3"/>
        <w:rPr>
          <w:rFonts w:hint="default" w:ascii="方正仿宋_GBK" w:hAnsi="方正仿宋_GBK" w:eastAsia="方正仿宋_GBK" w:cs="方正仿宋_GBK"/>
          <w:color w:val="auto"/>
          <w:sz w:val="32"/>
          <w:szCs w:val="32"/>
          <w:lang w:val="en-US" w:eastAsia="zh-CN"/>
        </w:rPr>
      </w:pPr>
    </w:p>
    <w:p/>
    <w:p>
      <w:pPr>
        <w:pStyle w:val="3"/>
      </w:pPr>
    </w:p>
    <w:p/>
    <w:p>
      <w:pPr>
        <w:pStyle w:val="3"/>
      </w:pPr>
    </w:p>
    <w:p/>
    <w:p>
      <w:pPr>
        <w:pStyle w:val="3"/>
      </w:pPr>
    </w:p>
    <w:p/>
    <w:p>
      <w:pPr>
        <w:pStyle w:val="3"/>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日期：   年    月    日</w:t>
      </w:r>
    </w:p>
    <w:p>
      <w:pPr>
        <w:pStyle w:val="3"/>
        <w:rPr>
          <w:rFonts w:hint="default" w:ascii="方正仿宋_GBK" w:hAnsi="方正仿宋_GBK" w:eastAsia="方正仿宋_GBK" w:cs="方正仿宋_GBK"/>
          <w:color w:val="auto"/>
          <w:sz w:val="32"/>
          <w:szCs w:val="32"/>
          <w:lang w:val="en-US" w:eastAsia="zh-CN"/>
        </w:rPr>
      </w:pPr>
    </w:p>
    <w:p>
      <w:pPr>
        <w:rPr>
          <w:rFonts w:hint="eastAsia" w:ascii="方正黑体_GBK" w:hAnsi="方正黑体_GBK" w:eastAsia="方正黑体_GBK" w:cs="方正黑体_GBK"/>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139FD"/>
    <w:multiLevelType w:val="singleLevel"/>
    <w:tmpl w:val="F06139FD"/>
    <w:lvl w:ilvl="0" w:tentative="0">
      <w:start w:val="5"/>
      <w:numFmt w:val="chineseCounting"/>
      <w:suff w:val="nothing"/>
      <w:lvlText w:val="%1、"/>
      <w:lvlJc w:val="left"/>
      <w:rPr>
        <w:rFonts w:hint="eastAsia"/>
      </w:rPr>
    </w:lvl>
  </w:abstractNum>
  <w:abstractNum w:abstractNumId="1">
    <w:nsid w:val="405CCA36"/>
    <w:multiLevelType w:val="singleLevel"/>
    <w:tmpl w:val="405CCA36"/>
    <w:lvl w:ilvl="0" w:tentative="0">
      <w:start w:val="1"/>
      <w:numFmt w:val="decimal"/>
      <w:lvlText w:val="%1."/>
      <w:lvlJc w:val="left"/>
      <w:pPr>
        <w:tabs>
          <w:tab w:val="left" w:pos="312"/>
        </w:tabs>
      </w:pPr>
    </w:lvl>
  </w:abstractNum>
  <w:abstractNum w:abstractNumId="2">
    <w:nsid w:val="4F3286F6"/>
    <w:multiLevelType w:val="singleLevel"/>
    <w:tmpl w:val="4F3286F6"/>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2Q3YjllYjI5NmI2MjI2NWE0MzI3MWZhMjFhMDkifQ=="/>
  </w:docVars>
  <w:rsids>
    <w:rsidRoot w:val="009B1549"/>
    <w:rsid w:val="00266EDD"/>
    <w:rsid w:val="00325B00"/>
    <w:rsid w:val="009B1549"/>
    <w:rsid w:val="00E0253D"/>
    <w:rsid w:val="00E32248"/>
    <w:rsid w:val="00E80240"/>
    <w:rsid w:val="01672747"/>
    <w:rsid w:val="04D704B4"/>
    <w:rsid w:val="06FA2572"/>
    <w:rsid w:val="075E7D46"/>
    <w:rsid w:val="077F2EEF"/>
    <w:rsid w:val="0BE4132D"/>
    <w:rsid w:val="0CC23BC6"/>
    <w:rsid w:val="0DA06BCC"/>
    <w:rsid w:val="0E9321A3"/>
    <w:rsid w:val="0EC90905"/>
    <w:rsid w:val="0F0D621F"/>
    <w:rsid w:val="121A5AE8"/>
    <w:rsid w:val="13D45246"/>
    <w:rsid w:val="17C73756"/>
    <w:rsid w:val="19B54AC4"/>
    <w:rsid w:val="19C44121"/>
    <w:rsid w:val="1A07277D"/>
    <w:rsid w:val="1D65166C"/>
    <w:rsid w:val="1EE27400"/>
    <w:rsid w:val="1F145694"/>
    <w:rsid w:val="1F6F331C"/>
    <w:rsid w:val="1F9C47F0"/>
    <w:rsid w:val="2295362C"/>
    <w:rsid w:val="24C6263E"/>
    <w:rsid w:val="25863CA9"/>
    <w:rsid w:val="2C4B26DA"/>
    <w:rsid w:val="2D9667DC"/>
    <w:rsid w:val="2E077869"/>
    <w:rsid w:val="2E224167"/>
    <w:rsid w:val="2F4F2F8E"/>
    <w:rsid w:val="2FC32380"/>
    <w:rsid w:val="33B866DD"/>
    <w:rsid w:val="34630A19"/>
    <w:rsid w:val="3720182B"/>
    <w:rsid w:val="3A6B7A0D"/>
    <w:rsid w:val="3D210612"/>
    <w:rsid w:val="4266269B"/>
    <w:rsid w:val="47B74145"/>
    <w:rsid w:val="4AC04D1E"/>
    <w:rsid w:val="4BD65750"/>
    <w:rsid w:val="4C4B2D5D"/>
    <w:rsid w:val="4E813938"/>
    <w:rsid w:val="4F326BD2"/>
    <w:rsid w:val="50CB5EAD"/>
    <w:rsid w:val="55044E5B"/>
    <w:rsid w:val="55243A7A"/>
    <w:rsid w:val="56625ED1"/>
    <w:rsid w:val="5E5D03CA"/>
    <w:rsid w:val="5ED61C38"/>
    <w:rsid w:val="600B2479"/>
    <w:rsid w:val="605B48FA"/>
    <w:rsid w:val="61DE6235"/>
    <w:rsid w:val="644E44FC"/>
    <w:rsid w:val="64A67A59"/>
    <w:rsid w:val="65006F2E"/>
    <w:rsid w:val="660B3AA0"/>
    <w:rsid w:val="66C94E3D"/>
    <w:rsid w:val="66EA756F"/>
    <w:rsid w:val="68A37079"/>
    <w:rsid w:val="6A713504"/>
    <w:rsid w:val="6D346FDA"/>
    <w:rsid w:val="75DC4CBC"/>
    <w:rsid w:val="79716EA6"/>
    <w:rsid w:val="79F411F6"/>
    <w:rsid w:val="7F927686"/>
    <w:rsid w:val="7FBA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qFormat/>
    <w:uiPriority w:val="9"/>
    <w:pPr>
      <w:keepNext/>
      <w:spacing w:before="240" w:after="60"/>
      <w:outlineLvl w:val="3"/>
    </w:pPr>
    <w:rPr>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semiHidden/>
    <w:unhideWhenUsed/>
    <w:qFormat/>
    <w:uiPriority w:val="99"/>
    <w:pPr>
      <w:spacing w:after="120"/>
      <w:ind w:left="420" w:leftChars="200"/>
    </w:pPr>
  </w:style>
  <w:style w:type="table" w:styleId="6">
    <w:name w:val="Table Grid"/>
    <w:basedOn w:val="5"/>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1338</Words>
  <Characters>1388</Characters>
  <Lines>3</Lines>
  <Paragraphs>1</Paragraphs>
  <TotalTime>0</TotalTime>
  <ScaleCrop>false</ScaleCrop>
  <LinksUpToDate>false</LinksUpToDate>
  <CharactersWithSpaces>1656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2023-12-25T08:57:00Z</cp:lastPrinted>
  <dcterms:modified xsi:type="dcterms:W3CDTF">2023-12-25T09:36:35Z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