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拟采购全数字彩色多普勒超声宫腔监测诊疗系统，</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二</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13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tl w:val="0"/>
        </w:rPr>
      </w:pPr>
      <w:r>
        <w:rPr>
          <w:rFonts w:hint="eastAsia" w:ascii="Times New Roman" w:hAnsi="Times New Roman" w:eastAsia="宋体" w:cs="Times New Roman"/>
          <w:sz w:val="24"/>
          <w:szCs w:val="24"/>
          <w:rtl w:val="0"/>
          <w:lang w:val="en-US" w:eastAsia="zh-CN"/>
        </w:rPr>
        <w:t>设备名称：</w:t>
      </w:r>
      <w:r>
        <w:rPr>
          <w:rFonts w:hint="default" w:ascii="Times New Roman" w:hAnsi="Times New Roman" w:eastAsia="宋体" w:cs="Times New Roman"/>
          <w:sz w:val="24"/>
          <w:szCs w:val="24"/>
          <w:rtl w:val="0"/>
        </w:rPr>
        <w:t>全数字彩色多普勒超声宫腔监测诊疗系统</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数量：1套</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参数要求：</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一、适用范围: 适用于超声实时监控下施行人工流产、取放节育环妇产科手术。</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二、技术要求:全数字彩色多普勒超声宫腔监测诊疗系统注册证。</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、主机</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彩色多普勒血流成像单元；纯净波探头技术，iclear</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复合成像、</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XRES自适应图像、</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脉冲反相谐波成像技术，探头逐点精准聚焦。</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1.2</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多倍信号并行处理技术，发射与接收数字通道数≥1024。</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1.3</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成像模式：B</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B/B</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4B</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B/M</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M</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B/C</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分屏、</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B/D</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fr-FR" w:eastAsia="zh-CN" w:bidi="ar-SA"/>
        </w:rPr>
        <w:t>CFM</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PWD。</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1.4</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具有先进的双向电影回放和逐帧回放功能，≥500帧，可手动/自动回放，可保存/加载电影回放，机内可达500幅图像永久存储功能。</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1.5</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可直接用按键调出的基波中心频率≥3种，彩色与多普勒图像可选频率≥3种。</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1.6</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主机操作面板上带USB信息转输接口，内嵌国际标准排列的电脑键盘。</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1.7</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大容量存储、回放功能，图文处理，光盘刻录，软件升级，8种伪彩模式。</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1.8</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回转式面板即主机操作面板可相对于主机箱进行90度旋转。</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1.9</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预设模式：≥6种，用户可以自定义条件，多普勒手动描迹。</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1.10</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四探头接口，自动识别可任意插接，全激活。</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1.11</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全中文操作系统，支持图像存储与回放，支持同步存储，主机支持影像管理，离线分析，图像处理，报告打印。</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1.12</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血流框可以倒置。</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1.13</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输出功率多级可调，具有图像上、下、左、右翻转功能</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1.14</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一般测量项目：PW</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S/D比值、加速度、搏动及阻力指数，多普勒手动描迹测量。</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2、宽频凸阵妇科术中探头</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*2.1</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探头曲率半径: R13 。</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2.2</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分辨率：纵（轴）向≤0.5mm（深度≤40mm）；横（侧）向≤1mm（深度≤40mm）。</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2.3</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ja-JP" w:eastAsia="ja-JP" w:bidi="ar-SA"/>
        </w:rPr>
        <w:t>盲区：</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≤3mm。</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*2.4</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手术探头超薄小巧，术中贴在通用窥器下页外侧使用，不需要与窥器下页卡、扣联接。</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（提供证明文件或实际演示）</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2.5</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手术探头能在术前、术后不依靠其他器械独立进行妇检，确保手术效果。</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2.6</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手术探头与通用窥器术中结合时能左右分开，调整扫描角度，满足临床动态需要。</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3、手术窥器和使用</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*3.1</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术中手术探头与普通窥器贴合使用，即术中不使用下页与手术探头相互卡、扣联接的窥器，避免术中隔离套破损。</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3.2</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手术中排出的血污直接顺着普通窥器完整的下页流出，即窥器下页无豁口、无短缺。</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3.3</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手术过程中宫颈钳、扩宫棒、吸引杆在普通窥器完整的上下页之间工作（即窥器上、下页前端长度相等且无豁口），手术器械术中不会直接触碰到手术探头及隔离套，避免损坏探头和隔离套。</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zh-TW" w:eastAsia="zh-TW" w:bidi="ar-SA"/>
        </w:rPr>
        <w:t>二、 配置要求：</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1.1</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具有彩色多普勒功能主机壹台。</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1.2</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薄壁式弯形，无凸台及卡槽的手术探头壹支。</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1.3</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3.5MHz  R50凸阵探头壹支。</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1.4</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15”医用高清液晶屏壹只，内置可独立开关的超净</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da-DK" w:eastAsia="zh-CN" w:bidi="ar-SA"/>
        </w:rPr>
        <w:t>LED</w:t>
      </w:r>
      <w:r>
        <w:rPr>
          <w:rFonts w:hint="default" w:ascii="Times New Roman" w:hAnsi="Times New Roman" w:eastAsia="宋体" w:cs="Times New Roman"/>
          <w:color w:val="auto"/>
          <w:spacing w:val="0"/>
          <w:w w:val="100"/>
          <w:kern w:val="2"/>
          <w:position w:val="0"/>
          <w:sz w:val="24"/>
          <w:szCs w:val="24"/>
          <w:u w:val="none"/>
          <w:shd w:val="clear"/>
          <w:vertAlign w:val="baseline"/>
          <w:rtl w:val="0"/>
          <w:lang w:val="ja-JP" w:eastAsia="ja-JP" w:bidi="ar-SA"/>
        </w:rPr>
        <w:t>射灯。</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1.5</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主机内置光驱。</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1.6</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电源线、保险丝、耦合剂、使用说明书等壹套。</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1.7</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手术探头术中使用动画文件一套（有自主版权）。</w:t>
      </w:r>
    </w:p>
    <w:p>
      <w:pPr>
        <w:pStyle w:val="11"/>
        <w:framePr w:w="0" w:wrap="auto" w:vAnchor="margin" w:hAnchor="text" w:yAlign="inline"/>
        <w:bidi w:val="0"/>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pPr>
      <w:r>
        <w:rPr>
          <w:rFonts w:hint="default" w:ascii="Times New Roman" w:hAnsi="Times New Roman" w:eastAsia="宋体" w:cs="Times New Roman"/>
          <w:color w:val="auto"/>
          <w:spacing w:val="0"/>
          <w:w w:val="100"/>
          <w:kern w:val="2"/>
          <w:position w:val="0"/>
          <w:sz w:val="24"/>
          <w:szCs w:val="24"/>
          <w:u w:val="none"/>
          <w:shd w:val="clear"/>
          <w:vertAlign w:val="baseline"/>
          <w:rtl w:val="0"/>
          <w:lang w:val="en-US" w:eastAsia="zh-CN" w:bidi="ar-SA"/>
        </w:rPr>
        <w:t>三、质量要求: 设备生产商通过质量管理体系及CE认证。</w:t>
      </w:r>
    </w:p>
    <w:p>
      <w:pPr>
        <w:pStyle w:val="2"/>
        <w:rPr>
          <w:rFonts w:hint="default"/>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bookmarkStart w:id="1" w:name="_GoBack"/>
      <w:bookmarkEnd w:id="1"/>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C9055B6"/>
    <w:rsid w:val="0CEE6A14"/>
    <w:rsid w:val="0D7279C1"/>
    <w:rsid w:val="0FE413DC"/>
    <w:rsid w:val="1162444E"/>
    <w:rsid w:val="11B56CE7"/>
    <w:rsid w:val="141D1933"/>
    <w:rsid w:val="17D441AF"/>
    <w:rsid w:val="1CD0404A"/>
    <w:rsid w:val="20567118"/>
    <w:rsid w:val="22587C1D"/>
    <w:rsid w:val="24E574D0"/>
    <w:rsid w:val="26556455"/>
    <w:rsid w:val="26E71450"/>
    <w:rsid w:val="281F755F"/>
    <w:rsid w:val="2E5E45BC"/>
    <w:rsid w:val="31596968"/>
    <w:rsid w:val="34540B85"/>
    <w:rsid w:val="36CF50B7"/>
    <w:rsid w:val="39A83D55"/>
    <w:rsid w:val="39DE699F"/>
    <w:rsid w:val="3C4E276F"/>
    <w:rsid w:val="3CB56187"/>
    <w:rsid w:val="3DAE77A5"/>
    <w:rsid w:val="42D97F66"/>
    <w:rsid w:val="439747DB"/>
    <w:rsid w:val="453009CA"/>
    <w:rsid w:val="45CE55D0"/>
    <w:rsid w:val="463B24C2"/>
    <w:rsid w:val="47B34975"/>
    <w:rsid w:val="4AC43BB5"/>
    <w:rsid w:val="4F4B389A"/>
    <w:rsid w:val="51A23C60"/>
    <w:rsid w:val="52527665"/>
    <w:rsid w:val="54A83452"/>
    <w:rsid w:val="552E4660"/>
    <w:rsid w:val="57AF75B9"/>
    <w:rsid w:val="5D9A4294"/>
    <w:rsid w:val="5E73272A"/>
    <w:rsid w:val="5EC95809"/>
    <w:rsid w:val="611D0AAE"/>
    <w:rsid w:val="621F4120"/>
    <w:rsid w:val="63002E91"/>
    <w:rsid w:val="649E29D3"/>
    <w:rsid w:val="687B5878"/>
    <w:rsid w:val="6ADD2C72"/>
    <w:rsid w:val="6B803D0B"/>
    <w:rsid w:val="6BDF1281"/>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2021-04-08T09:30:05Z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